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A5AD4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  <w:bookmarkStart w:id="0" w:name="_Toc386464971"/>
      <w:bookmarkStart w:id="1" w:name="_Toc386464972"/>
      <w:bookmarkStart w:id="2" w:name="_GoBack"/>
      <w:bookmarkEnd w:id="2"/>
    </w:p>
    <w:p w14:paraId="2C3B79B1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00B84CC1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3965263C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7878A662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4793FA0F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12ECE00D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245C1AF5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7C82E05F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43E6A5A1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026CFAEB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29E2AC4A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77F85F16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0E64B56C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4890AF66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71A5BA9D" w14:textId="77777777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</w:p>
    <w:p w14:paraId="1A93FD5D" w14:textId="38CD4CEA" w:rsidR="00835A63" w:rsidRDefault="00835A63" w:rsidP="00835A63">
      <w:pPr>
        <w:pStyle w:val="Nzev"/>
        <w:jc w:val="both"/>
        <w:outlineLvl w:val="0"/>
        <w:rPr>
          <w:rFonts w:asciiTheme="minorHAnsi" w:hAnsiTheme="minorHAnsi"/>
          <w:smallCaps/>
          <w:sz w:val="36"/>
          <w:szCs w:val="36"/>
        </w:rPr>
      </w:pPr>
      <w:r>
        <w:rPr>
          <w:rFonts w:asciiTheme="minorHAnsi" w:hAnsiTheme="minorHAnsi"/>
          <w:smallCaps/>
          <w:sz w:val="36"/>
          <w:szCs w:val="36"/>
        </w:rPr>
        <w:t>Resortní I</w:t>
      </w:r>
      <w:r w:rsidRPr="002E0C36">
        <w:rPr>
          <w:rFonts w:asciiTheme="minorHAnsi" w:hAnsiTheme="minorHAnsi"/>
          <w:smallCaps/>
          <w:sz w:val="36"/>
          <w:szCs w:val="36"/>
        </w:rPr>
        <w:t>nterní</w:t>
      </w:r>
      <w:r>
        <w:rPr>
          <w:rFonts w:asciiTheme="minorHAnsi" w:hAnsiTheme="minorHAnsi"/>
          <w:smallCaps/>
          <w:sz w:val="36"/>
          <w:szCs w:val="36"/>
        </w:rPr>
        <w:t xml:space="preserve"> protikorupční</w:t>
      </w:r>
      <w:r w:rsidRPr="002E0C36">
        <w:rPr>
          <w:rFonts w:asciiTheme="minorHAnsi" w:hAnsiTheme="minorHAnsi"/>
          <w:smallCaps/>
          <w:sz w:val="36"/>
          <w:szCs w:val="36"/>
        </w:rPr>
        <w:t xml:space="preserve"> program MŠMT</w:t>
      </w:r>
      <w:bookmarkEnd w:id="0"/>
    </w:p>
    <w:p w14:paraId="2A9A29F1" w14:textId="7A098D24" w:rsidR="00835A63" w:rsidRDefault="00835A63">
      <w:pPr>
        <w:spacing w:line="240" w:lineRule="auto"/>
        <w:jc w:val="left"/>
        <w:rPr>
          <w:rFonts w:ascii="Calibri" w:hAnsi="Calibri"/>
          <w:b/>
          <w:sz w:val="28"/>
          <w:szCs w:val="20"/>
        </w:rPr>
      </w:pPr>
      <w:r>
        <w:rPr>
          <w:rFonts w:ascii="Calibri" w:hAnsi="Calibri"/>
          <w:b/>
          <w:sz w:val="28"/>
          <w:szCs w:val="20"/>
        </w:rPr>
        <w:br w:type="page"/>
      </w:r>
    </w:p>
    <w:p w14:paraId="5B7891B1" w14:textId="77777777" w:rsidR="00835A63" w:rsidRDefault="00835A63">
      <w:pPr>
        <w:spacing w:line="240" w:lineRule="auto"/>
        <w:jc w:val="left"/>
        <w:rPr>
          <w:rFonts w:ascii="Calibri" w:hAnsi="Calibri"/>
          <w:b/>
          <w:sz w:val="28"/>
          <w:szCs w:val="20"/>
        </w:rPr>
      </w:pPr>
    </w:p>
    <w:p w14:paraId="38072268" w14:textId="78AD476D" w:rsidR="00BB3AE7" w:rsidRPr="00D86664" w:rsidRDefault="00BB3AE7" w:rsidP="00BB3AE7">
      <w:pPr>
        <w:pStyle w:val="Nadpis1"/>
        <w:numPr>
          <w:ilvl w:val="0"/>
          <w:numId w:val="0"/>
        </w:numPr>
        <w:ind w:left="720" w:hanging="720"/>
      </w:pPr>
      <w:r w:rsidRPr="00D86664">
        <w:t>Úvod</w:t>
      </w:r>
      <w:bookmarkEnd w:id="1"/>
    </w:p>
    <w:p w14:paraId="04BFC68D" w14:textId="77777777" w:rsidR="00BB3AE7" w:rsidRDefault="00BB3AE7" w:rsidP="00BB3AE7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DF1DFA9" w14:textId="47D8DFE3" w:rsidR="00B64586" w:rsidRDefault="00835A63" w:rsidP="007F0F9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B64586">
        <w:rPr>
          <w:rFonts w:asciiTheme="minorHAnsi" w:hAnsiTheme="minorHAnsi" w:cs="Arial"/>
          <w:color w:val="000000"/>
        </w:rPr>
        <w:t>Resortní i</w:t>
      </w:r>
      <w:r w:rsidR="00BB3AE7" w:rsidRPr="00B64586">
        <w:rPr>
          <w:rFonts w:asciiTheme="minorHAnsi" w:hAnsiTheme="minorHAnsi" w:cs="Arial"/>
          <w:color w:val="000000"/>
        </w:rPr>
        <w:t xml:space="preserve">nterní protikorupční program byl zpracován na základě </w:t>
      </w:r>
      <w:r w:rsidR="00B64586" w:rsidRPr="00B64586">
        <w:rPr>
          <w:rFonts w:asciiTheme="minorHAnsi" w:hAnsiTheme="minorHAnsi" w:cs="Arial"/>
        </w:rPr>
        <w:t xml:space="preserve">usnesení vlády České republiky č. 1077 ze dne 21. prosince 2015, kterým byla schválena aktualizace Rámcového resortního interního protikorupčního programu </w:t>
      </w:r>
      <w:r w:rsidR="00B64586">
        <w:rPr>
          <w:rFonts w:asciiTheme="minorHAnsi" w:hAnsiTheme="minorHAnsi" w:cs="Arial"/>
          <w:color w:val="000000"/>
        </w:rPr>
        <w:t xml:space="preserve">schváleného </w:t>
      </w:r>
      <w:r w:rsidR="007F0F9F" w:rsidRPr="00B64586">
        <w:rPr>
          <w:rFonts w:asciiTheme="minorHAnsi" w:hAnsiTheme="minorHAnsi" w:cstheme="minorHAnsi"/>
          <w:color w:val="000000"/>
        </w:rPr>
        <w:t>usnesení</w:t>
      </w:r>
      <w:r w:rsidR="00B64586">
        <w:rPr>
          <w:rFonts w:asciiTheme="minorHAnsi" w:hAnsiTheme="minorHAnsi" w:cstheme="minorHAnsi"/>
          <w:color w:val="000000"/>
        </w:rPr>
        <w:t>m</w:t>
      </w:r>
      <w:r w:rsidR="007F0F9F" w:rsidRPr="00B64586">
        <w:rPr>
          <w:rFonts w:asciiTheme="minorHAnsi" w:hAnsiTheme="minorHAnsi" w:cstheme="minorHAnsi"/>
          <w:color w:val="000000"/>
        </w:rPr>
        <w:t xml:space="preserve"> vlády České republiky č. 851</w:t>
      </w:r>
      <w:r w:rsidR="00B64586">
        <w:rPr>
          <w:rFonts w:asciiTheme="minorHAnsi" w:hAnsiTheme="minorHAnsi" w:cstheme="minorHAnsi"/>
          <w:color w:val="000000"/>
        </w:rPr>
        <w:t xml:space="preserve"> ze dne 13. listopadu 2013.</w:t>
      </w:r>
    </w:p>
    <w:p w14:paraId="06A46462" w14:textId="77777777" w:rsidR="00BB3AE7" w:rsidRPr="00720B6F" w:rsidRDefault="00BB3AE7" w:rsidP="00BB3AE7">
      <w:pPr>
        <w:rPr>
          <w:rFonts w:asciiTheme="minorHAnsi" w:hAnsiTheme="minorHAnsi" w:cs="Arial"/>
        </w:rPr>
      </w:pPr>
    </w:p>
    <w:p w14:paraId="49C6315B" w14:textId="1F324A06" w:rsidR="00BB3AE7" w:rsidRPr="00835A63" w:rsidRDefault="003B31C4" w:rsidP="00BB3AE7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="00BB3AE7" w:rsidRPr="00835A63">
        <w:rPr>
          <w:rFonts w:asciiTheme="minorHAnsi" w:hAnsiTheme="minorHAnsi" w:cs="Arial"/>
        </w:rPr>
        <w:t xml:space="preserve">IPP MŠMT vychází z osnovy, kterou byl stanoven minimální rámec rezortního interního protikorupčního programu. </w:t>
      </w:r>
    </w:p>
    <w:p w14:paraId="19C71EAC" w14:textId="77777777" w:rsidR="00BB3AE7" w:rsidRPr="00835A63" w:rsidRDefault="00BB3AE7" w:rsidP="00BB3AE7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06F06908" w14:textId="1C900659" w:rsidR="00BB3AE7" w:rsidRPr="00835A63" w:rsidRDefault="00BB3AE7" w:rsidP="00BB3AE7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835A63">
        <w:rPr>
          <w:rFonts w:asciiTheme="minorHAnsi" w:hAnsiTheme="minorHAnsi" w:cs="Arial"/>
        </w:rPr>
        <w:t>Rezortní interní protikorupční program zahrnuje pět základních částí:</w:t>
      </w:r>
    </w:p>
    <w:p w14:paraId="4FFA0264" w14:textId="77777777" w:rsidR="00BB3AE7" w:rsidRPr="00DB132D" w:rsidRDefault="00BB3AE7" w:rsidP="00BB3AE7">
      <w:pPr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DB132D">
        <w:rPr>
          <w:rFonts w:ascii="Arial" w:hAnsi="Arial" w:cs="Arial"/>
          <w:noProof/>
          <w:sz w:val="22"/>
          <w:szCs w:val="22"/>
        </w:rPr>
        <mc:AlternateContent>
          <mc:Choice Requires="wpc">
            <w:drawing>
              <wp:inline distT="0" distB="0" distL="0" distR="0" wp14:anchorId="72AB33F0" wp14:editId="2CF46C2F">
                <wp:extent cx="5715000" cy="1714500"/>
                <wp:effectExtent l="24130" t="1270" r="4445" b="0"/>
                <wp:docPr id="11" name="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443355" cy="795655"/>
                          </a:xfrm>
                          <a:prstGeom prst="chevron">
                            <a:avLst>
                              <a:gd name="adj" fmla="val 453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403350" y="114300"/>
                            <a:ext cx="1443355" cy="795655"/>
                          </a:xfrm>
                          <a:prstGeom prst="chevron">
                            <a:avLst>
                              <a:gd name="adj" fmla="val 453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806700" y="114300"/>
                            <a:ext cx="1443355" cy="795655"/>
                          </a:xfrm>
                          <a:prstGeom prst="chevron">
                            <a:avLst>
                              <a:gd name="adj" fmla="val 453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210050" y="114300"/>
                            <a:ext cx="1443355" cy="795655"/>
                          </a:xfrm>
                          <a:prstGeom prst="chevron">
                            <a:avLst>
                              <a:gd name="adj" fmla="val 4535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1750" y="1028700"/>
                            <a:ext cx="5600700" cy="571500"/>
                          </a:xfrm>
                          <a:prstGeom prst="chevron">
                            <a:avLst>
                              <a:gd name="adj" fmla="val 24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165735"/>
                            <a:ext cx="102870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EF233" w14:textId="77777777" w:rsidR="00BB3AE7" w:rsidRPr="00DB132D" w:rsidRDefault="00BB3AE7" w:rsidP="00BB3AE7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lef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DB132D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1. Vytváření a posilování protikorupčního klimatu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01800" y="336550"/>
                            <a:ext cx="1143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E7E79" w14:textId="77777777" w:rsidR="00BB3AE7" w:rsidRPr="00DB132D" w:rsidRDefault="00BB3AE7" w:rsidP="00BB3AE7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DB132D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2. Transparentnost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111500" y="184785"/>
                            <a:ext cx="1028700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6A9D3" w14:textId="77777777" w:rsidR="00BB3AE7" w:rsidRPr="00DB132D" w:rsidRDefault="00BB3AE7" w:rsidP="00BB3AE7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lef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DB132D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3. Řízení korupčních rizik </w:t>
                              </w:r>
                              <w:r w:rsidRPr="00DB132D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br/>
                                <w:t>a monitoring kontrol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552950" y="247650"/>
                            <a:ext cx="914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7DAA2B" w14:textId="77777777" w:rsidR="00BB3AE7" w:rsidRPr="00DB132D" w:rsidRDefault="00BB3AE7" w:rsidP="00BB3AE7">
                              <w:pPr>
                                <w:autoSpaceDE w:val="0"/>
                                <w:autoSpaceDN w:val="0"/>
                                <w:adjustRightInd w:val="0"/>
                                <w:spacing w:line="240" w:lineRule="auto"/>
                                <w:jc w:val="lef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DB132D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4. Postupy při podezření na korupci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1149350"/>
                            <a:ext cx="33147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F5F508" w14:textId="77777777" w:rsidR="00BB3AE7" w:rsidRPr="00DB132D" w:rsidRDefault="00BB3AE7" w:rsidP="00BB3AE7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DB132D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5. Vyhodnocování interního protikorupčního programu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2AB33F0" id="Plátno 2" o:spid="_x0000_s1026" editas="canvas" style="width:450pt;height:135pt;mso-position-horizontal-relative:char;mso-position-vertical-relative:line" coordsize="5715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17145;visibility:visible;mso-wrap-style:square">
                  <v:fill o:detectmouseclick="t"/>
                  <v:path o:connecttype="none"/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4" o:spid="_x0000_s1028" type="#_x0000_t55" style="position:absolute;top:1143;width:14433;height:7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si4sAA&#10;AADaAAAADwAAAGRycy9kb3ducmV2LnhtbERPTWsCMRC9F/ofwhS81ayCIluj1BargghVweuwGTdL&#10;N5MlSXX11xtB8DQ83ueMp62txYl8qBwr6HUzEMSF0xWXCva7+fsIRIjIGmvHpOBCAaaT15cx5tqd&#10;+ZdO21iKFMIhRwUmxiaXMhSGLIaua4gTd3TeYkzQl1J7PKdwW8t+lg2lxYpTg8GGvgwVf9t/q2B9&#10;PFSL2Y8hv+PedT9rV5vD90Cpzlv7+QEiUhuf4od7qdN8uL9yv3J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si4sAAAADaAAAADwAAAAAAAAAAAAAAAACYAgAAZHJzL2Rvd25y&#10;ZXYueG1sUEsFBgAAAAAEAAQA9QAAAIUDAAAAAA==&#10;"/>
                <v:shape id="AutoShape 5" o:spid="_x0000_s1029" type="#_x0000_t55" style="position:absolute;left:14033;top:1143;width:14434;height:7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m8lcQA&#10;AADaAAAADwAAAGRycy9kb3ducmV2LnhtbESPQWsCMRSE70L/Q3gFb5pVqMh2o9SWVoVSqAp7fWye&#10;m6WblyVJdfXXm4LQ4zAz3zDFsretOJEPjWMFk3EGgrhyuuFawWH/PpqDCBFZY+uYFFwowHLxMCgw&#10;1+7M33TaxVokCIccFZgYu1zKUBmyGMauI07e0XmLMUlfS+3xnOC2ldMsm0mLDacFgx29Gqp+dr9W&#10;weexbNarD0N+z5PrYdVvv8q3J6WGj/3LM4hIffwP39sbrWAKf1fSD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pvJXEAAAA2gAAAA8AAAAAAAAAAAAAAAAAmAIAAGRycy9k&#10;b3ducmV2LnhtbFBLBQYAAAAABAAEAPUAAACJAwAAAAA=&#10;"/>
                <v:shape id="AutoShape 6" o:spid="_x0000_s1030" type="#_x0000_t55" style="position:absolute;left:28067;top:1143;width:14433;height:7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UZDsMA&#10;AADaAAAADwAAAGRycy9kb3ducmV2LnhtbESPQWsCMRSE70L/Q3iCt5q1RSmrUbSlWqEUqoLXx+a5&#10;Wdy8LEnUtb/eCAWPw8x8w0xmra3FmXyoHCsY9DMQxIXTFZcKdtvP5zcQISJrrB2TgisFmE2fOhPM&#10;tbvwL503sRQJwiFHBSbGJpcyFIYshr5riJN3cN5iTNKXUnu8JLit5UuWjaTFitOCwYbeDRXHzckq&#10;+D7sq9ViachvefC3W7Trn/3HUKlet52PQURq4yP83/7SCl7hfiXd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UZDsMAAADaAAAADwAAAAAAAAAAAAAAAACYAgAAZHJzL2Rv&#10;d25yZXYueG1sUEsFBgAAAAAEAAQA9QAAAIgDAAAAAA==&#10;"/>
                <v:shape id="AutoShape 7" o:spid="_x0000_s1031" type="#_x0000_t55" style="position:absolute;left:42100;top:1143;width:14434;height:79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yBesMA&#10;AADaAAAADwAAAGRycy9kb3ducmV2LnhtbESPQWsCMRSE70L/Q3iCt5q1VCmrUbSlWqEUqoLXx+a5&#10;Wdy8LEnUtb/eCAWPw8x8w0xmra3FmXyoHCsY9DMQxIXTFZcKdtvP5zcQISJrrB2TgisFmE2fOhPM&#10;tbvwL503sRQJwiFHBSbGJpcyFIYshr5riJN3cN5iTNKXUnu8JLit5UuWjaTFitOCwYbeDRXHzckq&#10;+D7sq9ViachvefC3W7Trn/3HUKlet52PQURq4yP83/7SCl7hfiXdAD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yBesMAAADaAAAADwAAAAAAAAAAAAAAAACYAgAAZHJzL2Rv&#10;d25yZXYueG1sUEsFBgAAAAAEAAQA9QAAAIgDAAAAAA==&#10;"/>
                <v:shape id="AutoShape 8" o:spid="_x0000_s1032" type="#_x0000_t55" style="position:absolute;left:317;top:10287;width:5600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Ak4cQA&#10;AADaAAAADwAAAGRycy9kb3ducmV2LnhtbESPQWsCMRSE70L/Q3gFb5pVUGRrXLot1gqlUBW8PjbP&#10;zdLNy5KkuvXXm4LQ4zAz3zDLoretOJMPjWMFk3EGgrhyuuFawWG/Hi1AhIissXVMCn4pQLF6GCwx&#10;1+7CX3TexVokCIccFZgYu1zKUBmyGMauI07eyXmLMUlfS+3xkuC2ldMsm0uLDacFgx29GKq+dz9W&#10;wcfp2GzKN0N+z5Proey3n8fXmVLDx/75CUSkPv6H7+13rWAGf1fSD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AJOHEAAAA2gAAAA8AAAAAAAAAAAAAAAAAmAIAAGRycy9k&#10;b3ducmV2LnhtbFBLBQYAAAAABAAEAPUAAACJ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3" type="#_x0000_t202" style="position:absolute;left:3429;top:1657;width:10287;height:6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14:paraId="7D2EF233" w14:textId="77777777" w:rsidR="00BB3AE7" w:rsidRPr="00DB132D" w:rsidRDefault="00BB3AE7" w:rsidP="00BB3AE7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B132D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1. Vytváření a posilování protikorupčního klimatu</w:t>
                        </w:r>
                      </w:p>
                    </w:txbxContent>
                  </v:textbox>
                </v:shape>
                <v:shape id="Text Box 10" o:spid="_x0000_s1034" type="#_x0000_t202" style="position:absolute;left:17018;top:3365;width:1143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14:paraId="0D0E7E79" w14:textId="77777777" w:rsidR="00BB3AE7" w:rsidRPr="00DB132D" w:rsidRDefault="00BB3AE7" w:rsidP="00BB3AE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B132D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2. Transparentnost</w:t>
                        </w:r>
                      </w:p>
                    </w:txbxContent>
                  </v:textbox>
                </v:shape>
                <v:shape id="Text Box 11" o:spid="_x0000_s1035" type="#_x0000_t202" style="position:absolute;left:31115;top:1847;width:10287;height:6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0016A9D3" w14:textId="77777777" w:rsidR="00BB3AE7" w:rsidRPr="00DB132D" w:rsidRDefault="00BB3AE7" w:rsidP="00BB3AE7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B132D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3. Řízení korupčních rizik </w:t>
                        </w:r>
                        <w:r w:rsidRPr="00DB132D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br/>
                          <w:t>a monitoring kontrol</w:t>
                        </w:r>
                      </w:p>
                    </w:txbxContent>
                  </v:textbox>
                </v:shape>
                <v:shape id="Text Box 12" o:spid="_x0000_s1036" type="#_x0000_t202" style="position:absolute;left:45529;top:2476;width:9144;height:5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007DAA2B" w14:textId="77777777" w:rsidR="00BB3AE7" w:rsidRPr="00DB132D" w:rsidRDefault="00BB3AE7" w:rsidP="00BB3AE7">
                        <w:pPr>
                          <w:autoSpaceDE w:val="0"/>
                          <w:autoSpaceDN w:val="0"/>
                          <w:adjustRightInd w:val="0"/>
                          <w:spacing w:line="240" w:lineRule="auto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B132D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4. Postupy při podezření na korupci</w:t>
                        </w:r>
                      </w:p>
                    </w:txbxContent>
                  </v:textbox>
                </v:shape>
                <v:shape id="Text Box 13" o:spid="_x0000_s1037" type="#_x0000_t202" style="position:absolute;left:14859;top:11493;width:3314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6FF5F508" w14:textId="77777777" w:rsidR="00BB3AE7" w:rsidRPr="00DB132D" w:rsidRDefault="00BB3AE7" w:rsidP="00BB3AE7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DB132D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5. Vyhodnocování interního protikorupčního programu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F6F712" w14:textId="77777777" w:rsidR="00835A63" w:rsidRDefault="00835A63" w:rsidP="00BB3AE7">
      <w:pPr>
        <w:rPr>
          <w:rFonts w:asciiTheme="minorHAnsi" w:hAnsiTheme="minorHAnsi"/>
        </w:rPr>
      </w:pPr>
    </w:p>
    <w:p w14:paraId="6BABAA0A" w14:textId="1BD3961B" w:rsidR="00BB3AE7" w:rsidRPr="00835A63" w:rsidRDefault="003B31C4" w:rsidP="00BB3AE7">
      <w:pPr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BB3AE7" w:rsidRPr="00835A63">
        <w:rPr>
          <w:rFonts w:asciiTheme="minorHAnsi" w:hAnsiTheme="minorHAnsi"/>
        </w:rPr>
        <w:t>IPP je souborem protikorupčních opatření, jejichž cílem bylo minimalizovat v uplynulém období korupční příležitosti (rizika) a zamezit vz</w:t>
      </w:r>
      <w:r>
        <w:rPr>
          <w:rFonts w:asciiTheme="minorHAnsi" w:hAnsiTheme="minorHAnsi"/>
        </w:rPr>
        <w:t>niku možného korupčního jednání. Navazuje</w:t>
      </w:r>
      <w:r w:rsidR="00BB3AE7" w:rsidRPr="00835A63">
        <w:rPr>
          <w:rFonts w:asciiTheme="minorHAnsi" w:hAnsiTheme="minorHAnsi"/>
        </w:rPr>
        <w:t xml:space="preserve"> na dobrou praxi předchozích IPP, zejména v oblasti řízení rizik, vzdělávání zaměstnanců k problematice boje s korupcí a zvyšování transparentnosti úřadu.</w:t>
      </w:r>
    </w:p>
    <w:p w14:paraId="33A72271" w14:textId="77777777" w:rsidR="00BB3AE7" w:rsidRPr="00835A63" w:rsidRDefault="00BB3AE7" w:rsidP="00BB3AE7">
      <w:pPr>
        <w:rPr>
          <w:rFonts w:asciiTheme="minorHAnsi" w:hAnsiTheme="minorHAnsi"/>
        </w:rPr>
      </w:pPr>
    </w:p>
    <w:p w14:paraId="0A54770E" w14:textId="77777777" w:rsidR="00BB3AE7" w:rsidRPr="005A02B9" w:rsidRDefault="00BB3AE7" w:rsidP="00BB3AE7">
      <w:pPr>
        <w:pStyle w:val="Nadpis1"/>
        <w:numPr>
          <w:ilvl w:val="0"/>
          <w:numId w:val="0"/>
        </w:numPr>
        <w:ind w:left="720" w:hanging="720"/>
      </w:pPr>
      <w:bookmarkStart w:id="3" w:name="_Toc386464973"/>
      <w:r w:rsidRPr="005A02B9">
        <w:t>Cíle programu</w:t>
      </w:r>
      <w:bookmarkEnd w:id="3"/>
    </w:p>
    <w:p w14:paraId="6568089C" w14:textId="17E19053" w:rsidR="00BB3AE7" w:rsidRDefault="00BB3AE7" w:rsidP="00BB3AE7">
      <w:pPr>
        <w:pStyle w:val="Odstavecseseznamem"/>
        <w:numPr>
          <w:ilvl w:val="0"/>
          <w:numId w:val="9"/>
        </w:numPr>
        <w:spacing w:line="240" w:lineRule="auto"/>
        <w:contextualSpacing w:val="0"/>
        <w:rPr>
          <w:rFonts w:asciiTheme="minorHAnsi" w:hAnsiTheme="minorHAnsi"/>
        </w:rPr>
      </w:pPr>
      <w:r w:rsidRPr="005A02B9">
        <w:rPr>
          <w:rFonts w:asciiTheme="minorHAnsi" w:hAnsiTheme="minorHAnsi"/>
        </w:rPr>
        <w:t xml:space="preserve">Cílem </w:t>
      </w:r>
      <w:r w:rsidR="003B31C4">
        <w:rPr>
          <w:rFonts w:asciiTheme="minorHAnsi" w:hAnsiTheme="minorHAnsi"/>
        </w:rPr>
        <w:t>Resortního i</w:t>
      </w:r>
      <w:r w:rsidRPr="005A02B9">
        <w:rPr>
          <w:rFonts w:asciiTheme="minorHAnsi" w:hAnsiTheme="minorHAnsi"/>
        </w:rPr>
        <w:t xml:space="preserve">nterního protikorupčního programu MŠMT je odstranit nebo </w:t>
      </w:r>
      <w:r w:rsidR="003B31C4">
        <w:rPr>
          <w:rFonts w:asciiTheme="minorHAnsi" w:hAnsiTheme="minorHAnsi"/>
        </w:rPr>
        <w:t>v </w:t>
      </w:r>
      <w:r w:rsidRPr="003C5E51">
        <w:rPr>
          <w:rFonts w:asciiTheme="minorHAnsi" w:hAnsiTheme="minorHAnsi"/>
        </w:rPr>
        <w:t xml:space="preserve">maximální možné míře omezit předpoklady pro vznik korupčního jednání v rámci </w:t>
      </w:r>
      <w:r>
        <w:rPr>
          <w:rFonts w:asciiTheme="minorHAnsi" w:hAnsiTheme="minorHAnsi"/>
        </w:rPr>
        <w:t xml:space="preserve">MŠMT i celého </w:t>
      </w:r>
      <w:r w:rsidRPr="003C5E51">
        <w:rPr>
          <w:rFonts w:asciiTheme="minorHAnsi" w:hAnsiTheme="minorHAnsi"/>
        </w:rPr>
        <w:t>resortu.</w:t>
      </w:r>
    </w:p>
    <w:p w14:paraId="38A9B124" w14:textId="77777777" w:rsidR="00BB3AE7" w:rsidRPr="00A02C45" w:rsidRDefault="00BB3AE7" w:rsidP="00A02C45">
      <w:pPr>
        <w:rPr>
          <w:rFonts w:asciiTheme="minorHAnsi" w:hAnsiTheme="minorHAnsi"/>
        </w:rPr>
      </w:pPr>
    </w:p>
    <w:p w14:paraId="60FD9728" w14:textId="4CBEE19A" w:rsidR="00BB3AE7" w:rsidRDefault="003B31C4" w:rsidP="00BB3AE7">
      <w:pPr>
        <w:pStyle w:val="Odstavecseseznamem"/>
        <w:numPr>
          <w:ilvl w:val="0"/>
          <w:numId w:val="9"/>
        </w:numPr>
        <w:spacing w:line="240" w:lineRule="auto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Cílem Resortního i</w:t>
      </w:r>
      <w:r w:rsidR="00BB3AE7" w:rsidRPr="005A02B9">
        <w:rPr>
          <w:rFonts w:asciiTheme="minorHAnsi" w:hAnsiTheme="minorHAnsi"/>
        </w:rPr>
        <w:t xml:space="preserve">nterního protikorupčního programu je průběžně přijímanými opatřeními vnášet do </w:t>
      </w:r>
      <w:r w:rsidR="00BB3AE7">
        <w:rPr>
          <w:rFonts w:asciiTheme="minorHAnsi" w:hAnsiTheme="minorHAnsi"/>
        </w:rPr>
        <w:t>řídi</w:t>
      </w:r>
      <w:r w:rsidR="00BB3AE7" w:rsidRPr="005A02B9">
        <w:rPr>
          <w:rFonts w:asciiTheme="minorHAnsi" w:hAnsiTheme="minorHAnsi"/>
        </w:rPr>
        <w:t xml:space="preserve">cího systému takové prvky, které již svým charakterem (vícestupňovým schvalováním, kolektivním rozhodováním, zveřejňováním výsledků rozhodovacího řízení apod.) brání vzniku možného korupčního prostředí nebo možnosti nepřímého zvýhodňování. </w:t>
      </w:r>
    </w:p>
    <w:p w14:paraId="7B9CCBA5" w14:textId="7B4EA78D" w:rsidR="00BB3AE7" w:rsidRPr="00164796" w:rsidRDefault="00BB3AE7" w:rsidP="00BB3AE7">
      <w:pPr>
        <w:rPr>
          <w:rFonts w:asciiTheme="minorHAnsi" w:hAnsiTheme="minorHAnsi"/>
          <w:b/>
          <w:i/>
          <w:color w:val="1F497D" w:themeColor="text2"/>
          <w:sz w:val="22"/>
          <w:szCs w:val="22"/>
        </w:rPr>
      </w:pPr>
    </w:p>
    <w:p w14:paraId="244735E5" w14:textId="4DB5ECA6" w:rsidR="00835A63" w:rsidRDefault="00BB3AE7" w:rsidP="00BB3AE7">
      <w:pPr>
        <w:pStyle w:val="Odstavecseseznamem"/>
        <w:numPr>
          <w:ilvl w:val="0"/>
          <w:numId w:val="9"/>
        </w:numPr>
        <w:spacing w:line="240" w:lineRule="auto"/>
        <w:ind w:left="357"/>
        <w:contextualSpacing w:val="0"/>
        <w:rPr>
          <w:rFonts w:asciiTheme="minorHAnsi" w:hAnsiTheme="minorHAnsi"/>
        </w:rPr>
      </w:pPr>
      <w:r w:rsidRPr="005A02B9">
        <w:rPr>
          <w:rFonts w:asciiTheme="minorHAnsi" w:hAnsiTheme="minorHAnsi"/>
        </w:rPr>
        <w:t>Cílem je sledování úkolů vyplývajících z vládních usnesení přijímaných v oblasti strategie boje proti korupci a zabezpečit jejich rozpracování v rámci resortu určenými zaměstnanci MŠMT.</w:t>
      </w:r>
    </w:p>
    <w:p w14:paraId="574471DF" w14:textId="77777777" w:rsidR="00835A63" w:rsidRDefault="00835A63">
      <w:pPr>
        <w:spacing w:line="240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3A7FA3A6" w14:textId="77777777" w:rsidR="00BB3AE7" w:rsidRDefault="00BB3AE7" w:rsidP="00835A63">
      <w:pPr>
        <w:pStyle w:val="Odstavecseseznamem"/>
        <w:spacing w:line="240" w:lineRule="auto"/>
        <w:ind w:left="357"/>
        <w:contextualSpacing w:val="0"/>
        <w:rPr>
          <w:rFonts w:asciiTheme="minorHAnsi" w:hAnsiTheme="minorHAnsi"/>
        </w:rPr>
      </w:pPr>
    </w:p>
    <w:p w14:paraId="6AA8E79D" w14:textId="77777777" w:rsidR="00136F32" w:rsidRDefault="00136F32" w:rsidP="00E3714A">
      <w:pPr>
        <w:jc w:val="center"/>
        <w:rPr>
          <w:rFonts w:ascii="Arial" w:hAnsi="Arial" w:cs="Arial"/>
          <w:b/>
        </w:rPr>
      </w:pPr>
    </w:p>
    <w:p w14:paraId="41885943" w14:textId="31975755" w:rsidR="00723E74" w:rsidRPr="00136F32" w:rsidRDefault="0051454F" w:rsidP="00E3714A">
      <w:pPr>
        <w:jc w:val="center"/>
        <w:rPr>
          <w:rFonts w:ascii="Arial" w:hAnsi="Arial" w:cs="Arial"/>
          <w:b/>
        </w:rPr>
      </w:pPr>
      <w:r w:rsidRPr="00136F32">
        <w:rPr>
          <w:rFonts w:ascii="Arial" w:hAnsi="Arial" w:cs="Arial"/>
          <w:b/>
        </w:rPr>
        <w:t>R</w:t>
      </w:r>
      <w:r w:rsidR="00E3714A" w:rsidRPr="00136F32">
        <w:rPr>
          <w:rFonts w:ascii="Arial" w:hAnsi="Arial" w:cs="Arial"/>
          <w:b/>
        </w:rPr>
        <w:t>ezortní interní protikorupční program</w:t>
      </w:r>
    </w:p>
    <w:p w14:paraId="6CCA7502" w14:textId="77777777" w:rsidR="00136F32" w:rsidRPr="00DB132D" w:rsidRDefault="00136F32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363"/>
      </w:tblGrid>
      <w:tr w:rsidR="00A35E95" w:rsidRPr="00DB132D" w14:paraId="008A1DEA" w14:textId="77777777" w:rsidTr="00136F32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FF99CC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bookmarkStart w:id="4" w:name="BOD1"/>
          <w:p w14:paraId="039A0677" w14:textId="77777777" w:rsidR="00A35E95" w:rsidRPr="00DB132D" w:rsidRDefault="00A35E95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1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5" w:author="Horník Jan" w:date="2013-06-28T12:00:00Z" w:original="1."/>
              </w:fldChar>
            </w:r>
            <w:bookmarkEnd w:id="4"/>
          </w:p>
        </w:tc>
        <w:tc>
          <w:tcPr>
            <w:tcW w:w="836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FF99CC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F6AE50" w14:textId="77777777" w:rsidR="00A35E95" w:rsidRPr="00DB132D" w:rsidRDefault="00A35E95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t xml:space="preserve">Vytváření a posilování </w:t>
            </w:r>
            <w:r w:rsidR="00A34B0E" w:rsidRPr="00DB132D">
              <w:rPr>
                <w:rFonts w:ascii="Arial" w:hAnsi="Arial" w:cs="Arial"/>
                <w:b/>
                <w:sz w:val="22"/>
                <w:szCs w:val="22"/>
              </w:rPr>
              <w:t>protikorupčního klimatu</w:t>
            </w:r>
          </w:p>
        </w:tc>
      </w:tr>
      <w:tr w:rsidR="00A35E95" w:rsidRPr="00DB132D" w14:paraId="19881E6E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A4E3B" w14:textId="77777777" w:rsidR="00A35E95" w:rsidRPr="00DB132D" w:rsidRDefault="00A35E95" w:rsidP="00595F48">
            <w:pPr>
              <w:autoSpaceDE w:val="0"/>
              <w:autoSpaceDN w:val="0"/>
              <w:adjustRightInd w:val="0"/>
              <w:ind w:left="539" w:hanging="539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>Cíl:</w:t>
            </w: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ab/>
              <w:t xml:space="preserve">Snižovat motivaci zaměstnanců ke korupci a zvyšovat pravděpodobnost </w:t>
            </w:r>
            <w:r w:rsidR="00CC6E45" w:rsidRPr="00DB132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jejího </w:t>
            </w: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>odhalení.</w:t>
            </w:r>
          </w:p>
        </w:tc>
      </w:tr>
      <w:tr w:rsidR="00A35E95" w:rsidRPr="00DB132D" w14:paraId="36F08D44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41D9B" w14:textId="77777777" w:rsidR="00A35E95" w:rsidRPr="00DB132D" w:rsidRDefault="00A35E95" w:rsidP="00595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Prostředí</w:t>
            </w:r>
            <w:r w:rsidR="00E37B03" w:rsidRPr="00DB132D">
              <w:rPr>
                <w:rFonts w:ascii="Arial" w:hAnsi="Arial" w:cs="Arial"/>
                <w:sz w:val="22"/>
                <w:szCs w:val="22"/>
              </w:rPr>
              <w:t>, v němž je odmítáno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 korupční jednání a</w:t>
            </w:r>
            <w:r w:rsidR="00E37B03" w:rsidRPr="00DB132D">
              <w:rPr>
                <w:rFonts w:ascii="Arial" w:hAnsi="Arial" w:cs="Arial"/>
                <w:sz w:val="22"/>
                <w:szCs w:val="22"/>
              </w:rPr>
              <w:t> je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 zdůrazň</w:t>
            </w:r>
            <w:r w:rsidR="00E37B03" w:rsidRPr="00DB132D">
              <w:rPr>
                <w:rFonts w:ascii="Arial" w:hAnsi="Arial" w:cs="Arial"/>
                <w:sz w:val="22"/>
                <w:szCs w:val="22"/>
              </w:rPr>
              <w:t>ována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 och</w:t>
            </w:r>
            <w:r w:rsidR="0052544C" w:rsidRPr="00DB132D">
              <w:rPr>
                <w:rFonts w:ascii="Arial" w:hAnsi="Arial" w:cs="Arial"/>
                <w:sz w:val="22"/>
                <w:szCs w:val="22"/>
              </w:rPr>
              <w:t>ran</w:t>
            </w:r>
            <w:r w:rsidR="00E37B03" w:rsidRPr="00DB132D">
              <w:rPr>
                <w:rFonts w:ascii="Arial" w:hAnsi="Arial" w:cs="Arial"/>
                <w:sz w:val="22"/>
                <w:szCs w:val="22"/>
              </w:rPr>
              <w:t>a</w:t>
            </w:r>
            <w:r w:rsidR="0052544C" w:rsidRPr="00DB132D">
              <w:rPr>
                <w:rFonts w:ascii="Arial" w:hAnsi="Arial" w:cs="Arial"/>
                <w:sz w:val="22"/>
                <w:szCs w:val="22"/>
              </w:rPr>
              <w:t xml:space="preserve"> majetku státu</w:t>
            </w:r>
            <w:r w:rsidR="00E37B03" w:rsidRPr="00DB132D">
              <w:rPr>
                <w:rFonts w:ascii="Arial" w:hAnsi="Arial" w:cs="Arial"/>
                <w:sz w:val="22"/>
                <w:szCs w:val="22"/>
              </w:rPr>
              <w:t>,</w:t>
            </w:r>
            <w:r w:rsidR="003D7D92" w:rsidRPr="00DB132D">
              <w:rPr>
                <w:rFonts w:ascii="Arial" w:hAnsi="Arial" w:cs="Arial"/>
                <w:sz w:val="22"/>
                <w:szCs w:val="22"/>
              </w:rPr>
              <w:t xml:space="preserve"> je </w:t>
            </w:r>
            <w:r w:rsidR="0052544C" w:rsidRPr="00DB132D">
              <w:rPr>
                <w:rFonts w:ascii="Arial" w:hAnsi="Arial" w:cs="Arial"/>
                <w:sz w:val="22"/>
                <w:szCs w:val="22"/>
              </w:rPr>
              <w:t>jedním ze </w:t>
            </w:r>
            <w:r w:rsidRPr="00DB132D">
              <w:rPr>
                <w:rFonts w:ascii="Arial" w:hAnsi="Arial" w:cs="Arial"/>
                <w:sz w:val="22"/>
                <w:szCs w:val="22"/>
              </w:rPr>
              <w:t>základních pilířů interního protikorupčního programu. Hlavními nástroji pro budování takového prostředí j</w:t>
            </w:r>
            <w:r w:rsidR="00E37B03" w:rsidRPr="00DB132D">
              <w:rPr>
                <w:rFonts w:ascii="Arial" w:hAnsi="Arial" w:cs="Arial"/>
                <w:sz w:val="22"/>
                <w:szCs w:val="22"/>
              </w:rPr>
              <w:t>sou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 osvěta, posilování morální integrity zaměstnanců, aktivní propagace etických zásad a nastavení důvěryhodného mechanismu pro </w:t>
            </w:r>
            <w:r w:rsidR="006108DE" w:rsidRPr="00DB132D">
              <w:rPr>
                <w:rFonts w:ascii="Arial" w:hAnsi="Arial" w:cs="Arial"/>
                <w:sz w:val="22"/>
                <w:szCs w:val="22"/>
              </w:rPr>
              <w:t>oznámení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 podezření na korupční jednání.</w:t>
            </w:r>
          </w:p>
        </w:tc>
      </w:tr>
      <w:tr w:rsidR="009A7503" w:rsidRPr="00DB132D" w14:paraId="47CF4CE4" w14:textId="77777777" w:rsidTr="00136F32">
        <w:trPr>
          <w:trHeight w:hRule="exact" w:val="255"/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6827E5" w14:textId="77777777" w:rsidR="009A7503" w:rsidRPr="00DB132D" w:rsidRDefault="009A7503" w:rsidP="00595F4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Start w:id="6" w:name="BOD11"/>
      <w:tr w:rsidR="00A35E95" w:rsidRPr="00DB132D" w14:paraId="6EA9F117" w14:textId="77777777" w:rsidTr="00136F32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5925A" w14:textId="77777777" w:rsidR="00A35E95" w:rsidRPr="00DB132D" w:rsidRDefault="00486A89" w:rsidP="00595F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bookmarkStart w:id="7" w:name="_Ref357067829"/>
            <w:bookmarkEnd w:id="7"/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8" w:author="Horník Jan" w:date="2013-06-28T12:00:00Z" w:original="1.1."/>
              </w:fldChar>
            </w:r>
            <w:bookmarkEnd w:id="6"/>
          </w:p>
        </w:tc>
        <w:tc>
          <w:tcPr>
            <w:tcW w:w="8363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C8A7F" w14:textId="77777777" w:rsidR="00A35E95" w:rsidRPr="00DB132D" w:rsidRDefault="00486A89" w:rsidP="00595F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Propagace protikorupčního postoje vedoucími pracovníky</w:t>
            </w:r>
          </w:p>
        </w:tc>
      </w:tr>
      <w:tr w:rsidR="00A35E95" w:rsidRPr="00DB132D" w14:paraId="0A7701DF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30016" w14:textId="6F10BF09" w:rsidR="00350C4C" w:rsidRPr="00DB132D" w:rsidRDefault="00400A14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Rozšíření</w:t>
            </w:r>
            <w:r w:rsidR="00304E5F" w:rsidRPr="00DB132D">
              <w:rPr>
                <w:rFonts w:ascii="Arial" w:hAnsi="Arial" w:cs="Arial"/>
                <w:sz w:val="22"/>
                <w:szCs w:val="22"/>
              </w:rPr>
              <w:t xml:space="preserve"> základních povinností každého </w:t>
            </w:r>
            <w:r w:rsidR="004F5BEE" w:rsidRPr="00DB132D">
              <w:rPr>
                <w:rFonts w:ascii="Arial" w:hAnsi="Arial" w:cs="Arial"/>
                <w:b/>
                <w:sz w:val="22"/>
                <w:szCs w:val="22"/>
              </w:rPr>
              <w:t>představeného</w:t>
            </w:r>
            <w:r w:rsidR="005764F6" w:rsidRPr="00DB132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04E5F" w:rsidRPr="00DB132D">
              <w:rPr>
                <w:rFonts w:ascii="Arial" w:hAnsi="Arial" w:cs="Arial"/>
                <w:sz w:val="22"/>
                <w:szCs w:val="22"/>
              </w:rPr>
              <w:t xml:space="preserve">vedoucího zaměstnance o prosazování protikorupčního postoje </w:t>
            </w:r>
          </w:p>
        </w:tc>
      </w:tr>
      <w:tr w:rsidR="00D773B2" w:rsidRPr="00DB132D" w14:paraId="2333F699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F6C21" w14:textId="6C000305" w:rsidR="00D773B2" w:rsidRPr="001848CB" w:rsidRDefault="00D773B2" w:rsidP="004F5BE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Protikorupčním postojem se </w:t>
            </w:r>
            <w:r w:rsidR="00E37B03" w:rsidRPr="001848CB">
              <w:rPr>
                <w:rFonts w:ascii="Arial" w:hAnsi="Arial" w:cs="Arial"/>
                <w:i/>
                <w:sz w:val="22"/>
                <w:szCs w:val="22"/>
              </w:rPr>
              <w:t>vedle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 vlastní bezúhonnost</w:t>
            </w:r>
            <w:r w:rsidR="00E37B03" w:rsidRPr="001848CB">
              <w:rPr>
                <w:rFonts w:ascii="Arial" w:hAnsi="Arial" w:cs="Arial"/>
                <w:i/>
                <w:sz w:val="22"/>
                <w:szCs w:val="22"/>
              </w:rPr>
              <w:t>i rozumí zejména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 dodržování právních a </w:t>
            </w:r>
            <w:r w:rsidR="005764F6" w:rsidRPr="001848CB">
              <w:rPr>
                <w:rFonts w:ascii="Arial" w:hAnsi="Arial" w:cs="Arial"/>
                <w:i/>
                <w:sz w:val="22"/>
                <w:szCs w:val="22"/>
              </w:rPr>
              <w:t>služebních/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vnitřních předpisů, </w:t>
            </w:r>
            <w:r w:rsidR="00CC6E45" w:rsidRPr="001848CB">
              <w:rPr>
                <w:rFonts w:ascii="Arial" w:hAnsi="Arial" w:cs="Arial"/>
                <w:i/>
                <w:sz w:val="22"/>
                <w:szCs w:val="22"/>
              </w:rPr>
              <w:t>zdůrazňování význam</w:t>
            </w:r>
            <w:r w:rsidR="008211D3" w:rsidRPr="001848CB">
              <w:rPr>
                <w:rFonts w:ascii="Arial" w:hAnsi="Arial" w:cs="Arial"/>
                <w:i/>
                <w:sz w:val="22"/>
                <w:szCs w:val="22"/>
              </w:rPr>
              <w:t>u</w:t>
            </w:r>
            <w:r w:rsidR="00CC6E45" w:rsidRPr="001848CB">
              <w:rPr>
                <w:rFonts w:ascii="Arial" w:hAnsi="Arial" w:cs="Arial"/>
                <w:i/>
                <w:sz w:val="22"/>
                <w:szCs w:val="22"/>
              </w:rPr>
              <w:t xml:space="preserve"> ochrany majetku státu</w:t>
            </w:r>
            <w:r w:rsidR="008211D3" w:rsidRPr="001848CB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CC6E45" w:rsidRPr="001848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zdůrazňování důležitosti </w:t>
            </w:r>
            <w:r w:rsidR="00485408" w:rsidRPr="001848CB">
              <w:rPr>
                <w:rFonts w:ascii="Arial" w:hAnsi="Arial" w:cs="Arial"/>
                <w:i/>
                <w:sz w:val="22"/>
                <w:szCs w:val="22"/>
              </w:rPr>
              <w:t>existence a </w:t>
            </w:r>
            <w:r w:rsidR="0010406D" w:rsidRPr="001848CB">
              <w:rPr>
                <w:rFonts w:ascii="Arial" w:hAnsi="Arial" w:cs="Arial"/>
                <w:i/>
                <w:sz w:val="22"/>
                <w:szCs w:val="22"/>
              </w:rPr>
              <w:t xml:space="preserve">dodržování 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etických zásad při výkonu </w:t>
            </w:r>
            <w:r w:rsidR="005764F6" w:rsidRPr="001848CB">
              <w:rPr>
                <w:rFonts w:ascii="Arial" w:hAnsi="Arial" w:cs="Arial"/>
                <w:i/>
                <w:sz w:val="22"/>
                <w:szCs w:val="22"/>
              </w:rPr>
              <w:t>služb</w:t>
            </w:r>
            <w:r w:rsidR="004F5BEE" w:rsidRPr="001848CB">
              <w:rPr>
                <w:rFonts w:ascii="Arial" w:hAnsi="Arial" w:cs="Arial"/>
                <w:i/>
                <w:sz w:val="22"/>
                <w:szCs w:val="22"/>
              </w:rPr>
              <w:t>y</w:t>
            </w:r>
            <w:r w:rsidR="005764F6" w:rsidRPr="001848CB"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práce, propagace jednání odmítajícího korupci a důraz na prošetřování podezření a</w:t>
            </w:r>
            <w:r w:rsidR="007213E4" w:rsidRPr="001848CB">
              <w:rPr>
                <w:rFonts w:ascii="Arial" w:hAnsi="Arial" w:cs="Arial"/>
                <w:i/>
                <w:sz w:val="22"/>
                <w:szCs w:val="22"/>
              </w:rPr>
              <w:t> na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 vyvození adekvátních </w:t>
            </w:r>
            <w:r w:rsidR="004F5BEE" w:rsidRPr="001848CB">
              <w:rPr>
                <w:rFonts w:ascii="Arial" w:hAnsi="Arial" w:cs="Arial"/>
                <w:i/>
                <w:sz w:val="22"/>
                <w:szCs w:val="22"/>
              </w:rPr>
              <w:t>kázeňských</w:t>
            </w:r>
            <w:r w:rsidR="005764F6" w:rsidRPr="001848CB"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disciplinárních </w:t>
            </w:r>
            <w:r w:rsidR="007213E4" w:rsidRPr="001848CB">
              <w:rPr>
                <w:rFonts w:ascii="Arial" w:hAnsi="Arial" w:cs="Arial"/>
                <w:i/>
                <w:sz w:val="22"/>
                <w:szCs w:val="22"/>
              </w:rPr>
              <w:t xml:space="preserve">a jiných 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opatření</w:t>
            </w:r>
            <w:r w:rsidR="007213E4" w:rsidRPr="001848CB">
              <w:rPr>
                <w:rFonts w:ascii="Arial" w:hAnsi="Arial" w:cs="Arial"/>
                <w:i/>
                <w:sz w:val="22"/>
                <w:szCs w:val="22"/>
              </w:rPr>
              <w:t xml:space="preserve"> v případě prokázání prošetřovaných skutečností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C820C5" w:rsidRPr="00DB132D" w14:paraId="4B5F1379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BF8A3" w14:textId="77777777" w:rsidR="00C72B24" w:rsidRDefault="00C72B24" w:rsidP="00C72B24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Úkol: Zajistit proškolení zaměstnanců jednotlivých odborů MŠMT jejich představenými k problematice korupce. </w:t>
            </w:r>
          </w:p>
          <w:p w14:paraId="78EE6A71" w14:textId="77777777" w:rsidR="00C72B24" w:rsidRDefault="00C72B24" w:rsidP="00C72B24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Odpovídá: všichni ŘO</w:t>
            </w:r>
          </w:p>
          <w:p w14:paraId="1B87FF6F" w14:textId="56F1CD44" w:rsidR="00C72B24" w:rsidRPr="00DB132D" w:rsidRDefault="00A7680A" w:rsidP="00B6458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každoročně k 30. 12.</w:t>
            </w:r>
          </w:p>
        </w:tc>
      </w:tr>
      <w:tr w:rsidR="00654112" w:rsidRPr="00DB132D" w14:paraId="649AF58B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51153" w14:textId="28F57C39" w:rsidR="00096C08" w:rsidRDefault="00096C08" w:rsidP="00096C08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Úkol: </w:t>
            </w:r>
            <w:r w:rsidR="00C72B24">
              <w:rPr>
                <w:rFonts w:ascii="Arial" w:hAnsi="Arial" w:cs="Arial"/>
                <w:b/>
                <w:sz w:val="22"/>
                <w:szCs w:val="22"/>
              </w:rPr>
              <w:t>Umožnit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lektorskou činnost vedoucích zaměstnanců MŠMT na externích vzdělávacích aktivitách k problematice korupce</w:t>
            </w:r>
            <w:r w:rsidR="001848CB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3767F4F" w14:textId="050078B6" w:rsidR="00096C08" w:rsidRDefault="00B64586" w:rsidP="00096C08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Odpovídá: s</w:t>
            </w:r>
            <w:r w:rsidR="00096C08">
              <w:rPr>
                <w:rFonts w:ascii="Arial" w:hAnsi="Arial" w:cs="Arial"/>
                <w:b/>
                <w:sz w:val="22"/>
                <w:szCs w:val="22"/>
              </w:rPr>
              <w:t>tátní tajemník</w:t>
            </w:r>
          </w:p>
          <w:p w14:paraId="1ABD20AB" w14:textId="155C9BD2" w:rsidR="00096C08" w:rsidRPr="00DB132D" w:rsidRDefault="00A7680A" w:rsidP="00B6458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každoročně k 30. 12.</w:t>
            </w:r>
          </w:p>
        </w:tc>
      </w:tr>
      <w:tr w:rsidR="009A7503" w:rsidRPr="00DB132D" w14:paraId="4EC3686C" w14:textId="77777777" w:rsidTr="00136F32">
        <w:trPr>
          <w:trHeight w:hRule="exact" w:val="113"/>
          <w:jc w:val="center"/>
        </w:trPr>
        <w:tc>
          <w:tcPr>
            <w:tcW w:w="90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7AF41B" w14:textId="77777777" w:rsidR="009A7503" w:rsidRPr="00DB132D" w:rsidRDefault="009A7503" w:rsidP="00595F4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CF37FE9" w14:textId="77777777" w:rsidR="00143FC9" w:rsidRPr="00DB132D" w:rsidRDefault="00143FC9" w:rsidP="00595F4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47EC7CA" w14:textId="77777777" w:rsidR="00143FC9" w:rsidRPr="00DB132D" w:rsidRDefault="00143FC9" w:rsidP="00595F4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3B2" w:rsidRPr="00DB132D" w14:paraId="74CE51D8" w14:textId="77777777" w:rsidTr="00136F32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89E17C" w14:textId="77777777" w:rsidR="00D773B2" w:rsidRPr="00DB132D" w:rsidRDefault="00D773B2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9" w:author="Horník Jan" w:date="2013-06-28T12:00:00Z" w:original="1.2."/>
              </w:fldChar>
            </w:r>
          </w:p>
        </w:tc>
        <w:tc>
          <w:tcPr>
            <w:tcW w:w="8363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C1B40" w14:textId="77777777" w:rsidR="00D773B2" w:rsidRPr="00DB132D" w:rsidRDefault="00D773B2" w:rsidP="00595F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Etický kodex</w:t>
            </w:r>
          </w:p>
        </w:tc>
      </w:tr>
      <w:tr w:rsidR="00A35E95" w:rsidRPr="00DB132D" w14:paraId="2C6EE219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26C561" w14:textId="77777777" w:rsidR="00A35E95" w:rsidRPr="00DB132D" w:rsidRDefault="00D773B2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Propagace čestného a etického jednání a definování žádoucího, resp. nežádoucího chování.</w:t>
            </w:r>
          </w:p>
        </w:tc>
      </w:tr>
      <w:tr w:rsidR="00A35E95" w:rsidRPr="00DB132D" w14:paraId="400DAED1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493FA" w14:textId="08F4D41E" w:rsidR="00A35E95" w:rsidRPr="001848CB" w:rsidRDefault="00D773B2" w:rsidP="00987CE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Etický kodex </w:t>
            </w:r>
            <w:r w:rsidR="00400A14" w:rsidRPr="001848CB">
              <w:rPr>
                <w:rFonts w:ascii="Arial" w:hAnsi="Arial" w:cs="Arial"/>
                <w:i/>
                <w:sz w:val="22"/>
                <w:szCs w:val="22"/>
              </w:rPr>
              <w:t xml:space="preserve">stanovuje 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chování a povinnosti zaměstnanců,</w:t>
            </w:r>
            <w:r w:rsidR="0052544C" w:rsidRPr="001848CB">
              <w:rPr>
                <w:rFonts w:ascii="Arial" w:hAnsi="Arial" w:cs="Arial"/>
                <w:i/>
                <w:sz w:val="22"/>
                <w:szCs w:val="22"/>
              </w:rPr>
              <w:t xml:space="preserve"> které nevyplývají ze zákona či</w:t>
            </w:r>
            <w:r w:rsidR="00987CE8" w:rsidRPr="001848CB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z</w:t>
            </w:r>
            <w:r w:rsidR="005764F6" w:rsidRPr="001848CB"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="005764F6" w:rsidRPr="001848CB">
              <w:rPr>
                <w:rFonts w:ascii="Arial" w:hAnsi="Arial" w:cs="Arial"/>
                <w:i/>
                <w:sz w:val="22"/>
                <w:szCs w:val="22"/>
              </w:rPr>
              <w:t>služebních/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vnitřních předpisů, může i detailněji rozvádět problematické oblasti jako jsou např. dary, střet zájmů, apod. Jeho implementace spočívá v aktivní propagaci a</w:t>
            </w:r>
            <w:r w:rsidR="00E37B03" w:rsidRPr="001848CB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vyhodnocování jeho účinnosti. </w:t>
            </w:r>
          </w:p>
        </w:tc>
      </w:tr>
      <w:tr w:rsidR="00654112" w:rsidRPr="00DB132D" w14:paraId="75B483BA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606A0" w14:textId="0F4B620E" w:rsidR="00A7680A" w:rsidRPr="00A63E17" w:rsidRDefault="00A7680A" w:rsidP="00A7680A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A63E17">
              <w:rPr>
                <w:rFonts w:ascii="Arial" w:hAnsi="Arial" w:cs="Arial"/>
                <w:b/>
                <w:sz w:val="22"/>
                <w:szCs w:val="22"/>
              </w:rPr>
              <w:t xml:space="preserve">Úkol: Dodržovat Služební předpis č. 3/2016, státního tajemníka v Ministerstvu školství, mládeže a tělovýchovy, kterým se stanoví pravidla etiky zaměstnanců Ministerstva školství, mládeže a tělovýchovy </w:t>
            </w:r>
          </w:p>
          <w:p w14:paraId="56B921E2" w14:textId="2C72055A" w:rsidR="00A7680A" w:rsidRPr="00A63E17" w:rsidRDefault="00A7680A" w:rsidP="00A7680A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A63E17">
              <w:rPr>
                <w:rFonts w:ascii="Arial" w:hAnsi="Arial" w:cs="Arial"/>
                <w:b/>
                <w:sz w:val="22"/>
                <w:szCs w:val="22"/>
              </w:rPr>
              <w:t>Odpovídá: zaměstnanci MŠMT</w:t>
            </w:r>
            <w:r w:rsidR="00186F53" w:rsidRPr="00A63E17">
              <w:rPr>
                <w:rFonts w:ascii="Arial" w:hAnsi="Arial" w:cs="Arial"/>
                <w:b/>
                <w:sz w:val="22"/>
                <w:szCs w:val="22"/>
              </w:rPr>
              <w:t xml:space="preserve"> (ve služebním i pracovním poměru)</w:t>
            </w:r>
          </w:p>
          <w:p w14:paraId="2D440CC9" w14:textId="12388494" w:rsidR="00186F53" w:rsidRPr="00A63E17" w:rsidRDefault="00B64586" w:rsidP="00A7680A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průběžně (vyhodnocení vždy k 10. 1. kalendářního roku)</w:t>
            </w:r>
          </w:p>
          <w:p w14:paraId="69827E5F" w14:textId="77777777" w:rsidR="00B64586" w:rsidRDefault="00B64586" w:rsidP="00A7680A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AB529D" w14:textId="5E9BD5A4" w:rsidR="00186F53" w:rsidRPr="00A63E17" w:rsidRDefault="00186F53" w:rsidP="00A7680A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A63E17">
              <w:rPr>
                <w:rFonts w:ascii="Arial" w:hAnsi="Arial" w:cs="Arial"/>
                <w:b/>
                <w:sz w:val="22"/>
                <w:szCs w:val="22"/>
              </w:rPr>
              <w:t>Úkol: Vyhodnotit dodržování Služební</w:t>
            </w:r>
            <w:r w:rsidR="00B64586">
              <w:rPr>
                <w:rFonts w:ascii="Arial" w:hAnsi="Arial" w:cs="Arial"/>
                <w:b/>
                <w:sz w:val="22"/>
                <w:szCs w:val="22"/>
              </w:rPr>
              <w:t>ho</w:t>
            </w:r>
            <w:r w:rsidRPr="00A63E17">
              <w:rPr>
                <w:rFonts w:ascii="Arial" w:hAnsi="Arial" w:cs="Arial"/>
                <w:b/>
                <w:sz w:val="22"/>
                <w:szCs w:val="22"/>
              </w:rPr>
              <w:t xml:space="preserve"> předpis</w:t>
            </w:r>
            <w:r w:rsidR="00B64586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A63E17">
              <w:rPr>
                <w:rFonts w:ascii="Arial" w:hAnsi="Arial" w:cs="Arial"/>
                <w:b/>
                <w:sz w:val="22"/>
                <w:szCs w:val="22"/>
              </w:rPr>
              <w:t xml:space="preserve"> č. 3/2016, státního tajemníka v Ministerstvu školství, mládeže a tělovýchovy, kterým se stanoví pravidla etiky zaměstnanců Ministerstva školství, mládeže a tělovýchovy</w:t>
            </w:r>
          </w:p>
          <w:p w14:paraId="09D73D7D" w14:textId="6EDBAF0D" w:rsidR="00186F53" w:rsidRPr="00A63E17" w:rsidRDefault="00186F53" w:rsidP="00A7680A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A63E17">
              <w:rPr>
                <w:rFonts w:ascii="Arial" w:hAnsi="Arial" w:cs="Arial"/>
                <w:b/>
                <w:sz w:val="22"/>
                <w:szCs w:val="22"/>
              </w:rPr>
              <w:t>Odpovídá:</w:t>
            </w:r>
            <w:r w:rsidR="00B64586">
              <w:rPr>
                <w:rFonts w:ascii="Arial" w:hAnsi="Arial" w:cs="Arial"/>
                <w:b/>
                <w:sz w:val="22"/>
                <w:szCs w:val="22"/>
              </w:rPr>
              <w:t xml:space="preserve"> Státní tajemník a VO M1</w:t>
            </w:r>
          </w:p>
          <w:p w14:paraId="137B212D" w14:textId="1CD29345" w:rsidR="00835A63" w:rsidRPr="00DB132D" w:rsidRDefault="00B64586" w:rsidP="00B6458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10. 1. 2017</w:t>
            </w:r>
          </w:p>
        </w:tc>
      </w:tr>
      <w:tr w:rsidR="009A7503" w:rsidRPr="00DB132D" w14:paraId="03E8F922" w14:textId="77777777" w:rsidTr="00136F32">
        <w:trPr>
          <w:trHeight w:hRule="exact" w:val="113"/>
          <w:jc w:val="center"/>
        </w:trPr>
        <w:tc>
          <w:tcPr>
            <w:tcW w:w="90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0BE1FA" w14:textId="77777777" w:rsidR="009A7503" w:rsidRPr="00DB132D" w:rsidRDefault="009A7503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6AC7" w:rsidRPr="00DB132D" w14:paraId="2303B058" w14:textId="77777777" w:rsidTr="00136F32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A4181" w14:textId="77777777" w:rsidR="00496AC7" w:rsidRPr="00DB132D" w:rsidRDefault="00496AC7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10" w:author="Horník Jan" w:date="2013-06-28T12:00:00Z" w:original="1.3."/>
              </w:fldChar>
            </w:r>
          </w:p>
        </w:tc>
        <w:tc>
          <w:tcPr>
            <w:tcW w:w="8363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9FB585" w14:textId="77777777" w:rsidR="00496AC7" w:rsidRPr="00DB132D" w:rsidRDefault="00496AC7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Vzdělávání zaměstnanců</w:t>
            </w:r>
          </w:p>
        </w:tc>
      </w:tr>
      <w:tr w:rsidR="00D773B2" w:rsidRPr="00DB132D" w14:paraId="5695D9D6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0F1B7" w14:textId="77777777" w:rsidR="00D773B2" w:rsidRPr="00DB132D" w:rsidRDefault="00496AC7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 xml:space="preserve">Pravidelná školení zaměstnanců na všech </w:t>
            </w:r>
            <w:r w:rsidR="0051648B" w:rsidRPr="00DB132D">
              <w:rPr>
                <w:rFonts w:ascii="Arial" w:hAnsi="Arial" w:cs="Arial"/>
                <w:sz w:val="22"/>
                <w:szCs w:val="22"/>
              </w:rPr>
              <w:t>referentských i vedoucích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 úrovních</w:t>
            </w:r>
            <w:r w:rsidR="003055B9" w:rsidRPr="00DB13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055B9" w:rsidRPr="00DB132D" w14:paraId="2C96FEBF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2D736" w14:textId="245FF6E7" w:rsidR="003055B9" w:rsidRPr="00DB132D" w:rsidRDefault="003055B9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Vzdělávání zaměstnanců v protikorupční problematice se zaměřuje na význam ochrany majetku státu, na vysvětlování obsahu etického kodexu, na zvyšování schopnosti rozpoznat korupci, na zvyšování povědomí o ochraně </w:t>
            </w:r>
            <w:r w:rsidR="00E874DE" w:rsidRPr="00DB132D">
              <w:rPr>
                <w:rFonts w:ascii="Arial" w:hAnsi="Arial" w:cs="Arial"/>
                <w:i/>
                <w:sz w:val="22"/>
                <w:szCs w:val="22"/>
              </w:rPr>
              <w:t xml:space="preserve">zaměstnanců, kteří oznámili 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>pode</w:t>
            </w:r>
            <w:r w:rsidR="0052544C" w:rsidRPr="00DB132D">
              <w:rPr>
                <w:rFonts w:ascii="Arial" w:hAnsi="Arial" w:cs="Arial"/>
                <w:i/>
                <w:sz w:val="22"/>
                <w:szCs w:val="22"/>
              </w:rPr>
              <w:t>zření na 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korupci, na </w:t>
            </w:r>
            <w:r w:rsidR="00E874DE" w:rsidRPr="00DB132D">
              <w:rPr>
                <w:rFonts w:ascii="Arial" w:hAnsi="Arial" w:cs="Arial"/>
                <w:i/>
                <w:sz w:val="22"/>
                <w:szCs w:val="22"/>
              </w:rPr>
              <w:t xml:space="preserve">postupy </w:t>
            </w:r>
            <w:r w:rsidR="005764F6" w:rsidRPr="001848CB">
              <w:rPr>
                <w:rFonts w:ascii="Arial" w:hAnsi="Arial" w:cs="Arial"/>
                <w:i/>
                <w:sz w:val="22"/>
                <w:szCs w:val="22"/>
              </w:rPr>
              <w:t>služebního úřadu/</w:t>
            </w:r>
            <w:r w:rsidR="00E874DE" w:rsidRPr="00DB132D">
              <w:rPr>
                <w:rFonts w:ascii="Arial" w:hAnsi="Arial" w:cs="Arial"/>
                <w:i/>
                <w:sz w:val="22"/>
                <w:szCs w:val="22"/>
              </w:rPr>
              <w:t>organizace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 v</w:t>
            </w:r>
            <w:r w:rsidR="00E874DE" w:rsidRPr="00DB132D">
              <w:rPr>
                <w:rFonts w:ascii="Arial" w:hAnsi="Arial" w:cs="Arial"/>
                <w:i/>
                <w:sz w:val="22"/>
                <w:szCs w:val="22"/>
              </w:rPr>
              <w:t> 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případě </w:t>
            </w:r>
            <w:r w:rsidR="00E874DE" w:rsidRPr="00DB132D">
              <w:rPr>
                <w:rFonts w:ascii="Arial" w:hAnsi="Arial" w:cs="Arial"/>
                <w:i/>
                <w:sz w:val="22"/>
                <w:szCs w:val="22"/>
              </w:rPr>
              <w:t xml:space="preserve">potvrzení 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>korupčního jednání.</w:t>
            </w:r>
          </w:p>
        </w:tc>
      </w:tr>
      <w:tr w:rsidR="00654112" w:rsidRPr="00DB132D" w14:paraId="20BFE125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3A36F" w14:textId="64ECB649" w:rsidR="00654112" w:rsidRDefault="00654112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Úkol: </w:t>
            </w:r>
            <w:r w:rsidR="00C72B24">
              <w:rPr>
                <w:rFonts w:ascii="Arial" w:hAnsi="Arial" w:cs="Arial"/>
                <w:b/>
                <w:sz w:val="22"/>
                <w:szCs w:val="22"/>
              </w:rPr>
              <w:t xml:space="preserve">Připravit nabídku vzdělávání pro zaměstnance </w:t>
            </w:r>
            <w:r w:rsidR="004219A6">
              <w:rPr>
                <w:rFonts w:ascii="Arial" w:hAnsi="Arial" w:cs="Arial"/>
                <w:b/>
                <w:sz w:val="22"/>
                <w:szCs w:val="22"/>
              </w:rPr>
              <w:t>MŠMT včetně jejich představených k problematice korupce v</w:t>
            </w:r>
            <w:r w:rsidR="00D67866">
              <w:rPr>
                <w:rFonts w:ascii="Arial" w:hAnsi="Arial" w:cs="Arial"/>
                <w:b/>
                <w:sz w:val="22"/>
                <w:szCs w:val="22"/>
              </w:rPr>
              <w:t> jimi vykonávaných činnostech.</w:t>
            </w:r>
          </w:p>
          <w:p w14:paraId="6EF1B748" w14:textId="059B3911" w:rsidR="00654112" w:rsidRDefault="00654112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Odpovídá:</w:t>
            </w:r>
            <w:r w:rsidR="00B64586">
              <w:rPr>
                <w:rFonts w:ascii="Arial" w:hAnsi="Arial" w:cs="Arial"/>
                <w:b/>
                <w:sz w:val="22"/>
                <w:szCs w:val="22"/>
              </w:rPr>
              <w:t xml:space="preserve"> státní tajemník (</w:t>
            </w:r>
            <w:r w:rsidR="001848CB">
              <w:rPr>
                <w:rFonts w:ascii="Arial" w:hAnsi="Arial" w:cs="Arial"/>
                <w:b/>
                <w:sz w:val="22"/>
                <w:szCs w:val="22"/>
              </w:rPr>
              <w:t>ŘO S2</w:t>
            </w:r>
            <w:r w:rsidR="00B6458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31AEFA2A" w14:textId="5AD97A09" w:rsidR="00654112" w:rsidRPr="00DB132D" w:rsidRDefault="00654112" w:rsidP="00835A6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</w:t>
            </w:r>
            <w:r w:rsidR="00C72B24">
              <w:rPr>
                <w:rFonts w:ascii="Arial" w:hAnsi="Arial" w:cs="Arial"/>
                <w:b/>
                <w:sz w:val="22"/>
                <w:szCs w:val="22"/>
              </w:rPr>
              <w:t xml:space="preserve"> 30. 12</w:t>
            </w:r>
            <w:r w:rsidR="003E38BC">
              <w:rPr>
                <w:rFonts w:ascii="Arial" w:hAnsi="Arial" w:cs="Arial"/>
                <w:b/>
                <w:sz w:val="22"/>
                <w:szCs w:val="22"/>
              </w:rPr>
              <w:t>. 2016</w:t>
            </w:r>
          </w:p>
        </w:tc>
      </w:tr>
      <w:tr w:rsidR="009A7503" w:rsidRPr="00DB132D" w14:paraId="7DC49570" w14:textId="77777777" w:rsidTr="00136F32">
        <w:trPr>
          <w:trHeight w:hRule="exact" w:val="113"/>
          <w:jc w:val="center"/>
        </w:trPr>
        <w:tc>
          <w:tcPr>
            <w:tcW w:w="90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BD8CC8" w14:textId="77777777" w:rsidR="009A7503" w:rsidRPr="00DB132D" w:rsidRDefault="009A7503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1CE98B1" w14:textId="77777777" w:rsidR="0052544C" w:rsidRPr="00DB132D" w:rsidRDefault="0052544C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Start w:id="11" w:name="BOD14"/>
      <w:tr w:rsidR="008760D9" w:rsidRPr="00DB132D" w14:paraId="00D6CCD3" w14:textId="77777777" w:rsidTr="00136F32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5F367" w14:textId="77777777" w:rsidR="008760D9" w:rsidRPr="00DB132D" w:rsidRDefault="008760D9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12" w:author="Horník Jan" w:date="2013-06-28T12:00:00Z" w:original="1.4."/>
              </w:fldChar>
            </w:r>
            <w:bookmarkEnd w:id="11"/>
          </w:p>
        </w:tc>
        <w:tc>
          <w:tcPr>
            <w:tcW w:w="8363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7B139" w14:textId="77777777" w:rsidR="008760D9" w:rsidRPr="00DB132D" w:rsidRDefault="008760D9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Systém pro </w:t>
            </w:r>
            <w:r w:rsidR="008211D3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oznámení</w:t>
            </w: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podezření na korupci</w:t>
            </w:r>
          </w:p>
        </w:tc>
      </w:tr>
      <w:tr w:rsidR="008760D9" w:rsidRPr="00DB132D" w14:paraId="7F0FBFDE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C6A88" w14:textId="1F06D1E3" w:rsidR="008760D9" w:rsidRPr="00DB132D" w:rsidRDefault="008760D9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 xml:space="preserve">Systém umožňující </w:t>
            </w:r>
            <w:r w:rsidR="0074401C" w:rsidRPr="00DB132D">
              <w:rPr>
                <w:rFonts w:ascii="Arial" w:hAnsi="Arial" w:cs="Arial"/>
                <w:sz w:val="22"/>
                <w:szCs w:val="22"/>
              </w:rPr>
              <w:t xml:space="preserve">oznámení / 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anonymní </w:t>
            </w:r>
            <w:r w:rsidR="006108DE" w:rsidRPr="00DB132D">
              <w:rPr>
                <w:rFonts w:ascii="Arial" w:hAnsi="Arial" w:cs="Arial"/>
                <w:sz w:val="22"/>
                <w:szCs w:val="22"/>
              </w:rPr>
              <w:t>oznámení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 pode</w:t>
            </w:r>
            <w:r w:rsidR="0052544C" w:rsidRPr="00DB132D">
              <w:rPr>
                <w:rFonts w:ascii="Arial" w:hAnsi="Arial" w:cs="Arial"/>
                <w:sz w:val="22"/>
                <w:szCs w:val="22"/>
              </w:rPr>
              <w:t>zření na korupci zaměstnanci či 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třetími stranami (např. </w:t>
            </w:r>
            <w:r w:rsidR="00E874DE" w:rsidRPr="00DB132D">
              <w:rPr>
                <w:rFonts w:ascii="Arial" w:hAnsi="Arial" w:cs="Arial"/>
                <w:sz w:val="22"/>
                <w:szCs w:val="22"/>
              </w:rPr>
              <w:t xml:space="preserve">příjemci </w:t>
            </w:r>
            <w:r w:rsidR="004F5BEE" w:rsidRPr="00DB132D">
              <w:rPr>
                <w:rFonts w:ascii="Arial" w:hAnsi="Arial" w:cs="Arial"/>
                <w:sz w:val="22"/>
                <w:szCs w:val="22"/>
              </w:rPr>
              <w:t>dotací, zaměstnanci podřízených/</w:t>
            </w:r>
            <w:r w:rsidR="00F21AF7" w:rsidRPr="00DB132D">
              <w:rPr>
                <w:rFonts w:ascii="Arial" w:hAnsi="Arial" w:cs="Arial"/>
                <w:sz w:val="22"/>
                <w:szCs w:val="22"/>
              </w:rPr>
              <w:t xml:space="preserve">zřizovaných </w:t>
            </w:r>
            <w:r w:rsidR="00E874DE" w:rsidRPr="00DB132D">
              <w:rPr>
                <w:rFonts w:ascii="Arial" w:hAnsi="Arial" w:cs="Arial"/>
                <w:sz w:val="22"/>
                <w:szCs w:val="22"/>
              </w:rPr>
              <w:t>organizací</w:t>
            </w:r>
            <w:r w:rsidRPr="00DB132D">
              <w:rPr>
                <w:rFonts w:ascii="Arial" w:hAnsi="Arial" w:cs="Arial"/>
                <w:sz w:val="22"/>
                <w:szCs w:val="22"/>
              </w:rPr>
              <w:t>)</w:t>
            </w:r>
            <w:r w:rsidR="005A3CC1" w:rsidRPr="00DB132D">
              <w:rPr>
                <w:rFonts w:ascii="Arial" w:hAnsi="Arial" w:cs="Arial"/>
                <w:sz w:val="22"/>
                <w:szCs w:val="22"/>
              </w:rPr>
              <w:t>.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3CC1" w:rsidRPr="00DB132D" w14:paraId="106EE9EB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D85CDA" w14:textId="67E26223" w:rsidR="005A3CC1" w:rsidRPr="00DB132D" w:rsidRDefault="005A3CC1" w:rsidP="004842E3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Správně vytvořený systém pro </w:t>
            </w:r>
            <w:r w:rsidR="00B7575A" w:rsidRPr="001848CB">
              <w:rPr>
                <w:rFonts w:ascii="Arial" w:hAnsi="Arial" w:cs="Arial"/>
                <w:i/>
                <w:sz w:val="22"/>
                <w:szCs w:val="22"/>
              </w:rPr>
              <w:t>oznamování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 podezření na korupci poskytuje zaměstnancům odpovídající prostor</w:t>
            </w:r>
            <w:r w:rsidR="001848CB" w:rsidRPr="001848CB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87CE8" w:rsidRPr="001848CB">
              <w:rPr>
                <w:rFonts w:ascii="Arial" w:hAnsi="Arial" w:cs="Arial"/>
                <w:i/>
                <w:sz w:val="22"/>
                <w:szCs w:val="22"/>
              </w:rPr>
              <w:t xml:space="preserve">a 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prostředky,</w:t>
            </w:r>
            <w:r w:rsidR="00B3221B" w:rsidRPr="001848CB">
              <w:rPr>
                <w:rFonts w:ascii="Arial" w:hAnsi="Arial" w:cs="Arial"/>
                <w:i/>
                <w:sz w:val="22"/>
                <w:szCs w:val="22"/>
              </w:rPr>
              <w:t xml:space="preserve"> k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 jejichž využit</w:t>
            </w:r>
            <w:r w:rsidR="001848CB" w:rsidRPr="001848CB">
              <w:rPr>
                <w:rFonts w:ascii="Arial" w:hAnsi="Arial" w:cs="Arial"/>
                <w:i/>
                <w:sz w:val="22"/>
                <w:szCs w:val="22"/>
              </w:rPr>
              <w:t xml:space="preserve">í </w:t>
            </w:r>
            <w:r w:rsidR="00B3221B" w:rsidRPr="001848CB">
              <w:rPr>
                <w:rFonts w:ascii="Arial" w:hAnsi="Arial" w:cs="Arial"/>
                <w:i/>
                <w:sz w:val="22"/>
                <w:szCs w:val="22"/>
              </w:rPr>
              <w:t>mají zaměstnanci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 důvěru</w:t>
            </w:r>
            <w:r w:rsidR="001848CB" w:rsidRPr="001848CB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 Vytvořený systém je nezbytné aktivně propagovat – zo</w:t>
            </w:r>
            <w:r w:rsidR="0052544C" w:rsidRPr="001848CB">
              <w:rPr>
                <w:rFonts w:ascii="Arial" w:hAnsi="Arial" w:cs="Arial"/>
                <w:i/>
                <w:sz w:val="22"/>
                <w:szCs w:val="22"/>
              </w:rPr>
              <w:t>dpovědnost za propagaci leží na </w:t>
            </w:r>
            <w:r w:rsidR="004F5BEE" w:rsidRPr="001848CB">
              <w:rPr>
                <w:rFonts w:ascii="Arial" w:hAnsi="Arial" w:cs="Arial"/>
                <w:i/>
                <w:sz w:val="22"/>
                <w:szCs w:val="22"/>
              </w:rPr>
              <w:t>představených</w:t>
            </w:r>
            <w:r w:rsidR="00BC487B" w:rsidRPr="001848CB"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vedoucích zaměstnancích</w:t>
            </w:r>
            <w:r w:rsidR="003B31C4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654112" w:rsidRPr="00DB132D" w14:paraId="37D2292C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25AF3" w14:textId="6E545F3A" w:rsidR="00654112" w:rsidRDefault="00E67412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Úkol:</w:t>
            </w:r>
            <w:r w:rsidR="00747E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7866">
              <w:rPr>
                <w:rFonts w:ascii="Arial" w:hAnsi="Arial" w:cs="Arial"/>
                <w:b/>
                <w:sz w:val="22"/>
                <w:szCs w:val="22"/>
              </w:rPr>
              <w:t xml:space="preserve">Zajistit zpracování </w:t>
            </w:r>
            <w:r w:rsidR="00C72B24">
              <w:rPr>
                <w:rFonts w:ascii="Arial" w:hAnsi="Arial" w:cs="Arial"/>
                <w:b/>
                <w:sz w:val="22"/>
                <w:szCs w:val="22"/>
              </w:rPr>
              <w:t xml:space="preserve">návrhu pro vydání </w:t>
            </w:r>
            <w:r w:rsidR="00B64586">
              <w:rPr>
                <w:rFonts w:ascii="Arial" w:hAnsi="Arial" w:cs="Arial"/>
                <w:b/>
                <w:sz w:val="22"/>
                <w:szCs w:val="22"/>
              </w:rPr>
              <w:t>interního aktu řízení</w:t>
            </w:r>
            <w:r w:rsidR="00D67866">
              <w:rPr>
                <w:rFonts w:ascii="Arial" w:hAnsi="Arial" w:cs="Arial"/>
                <w:b/>
                <w:sz w:val="22"/>
                <w:szCs w:val="22"/>
              </w:rPr>
              <w:t xml:space="preserve">, kterým bude nastaven důvěryhodný systém pro oznamování podezření na korupci zaměstnanci MŠMT i třetími stranami. </w:t>
            </w:r>
          </w:p>
          <w:p w14:paraId="67E7C736" w14:textId="56BD8725" w:rsidR="00654112" w:rsidRDefault="00C72B24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Odpovídá: </w:t>
            </w:r>
            <w:r w:rsidR="00D67866">
              <w:rPr>
                <w:rFonts w:ascii="Arial" w:hAnsi="Arial" w:cs="Arial"/>
                <w:b/>
                <w:sz w:val="22"/>
                <w:szCs w:val="22"/>
              </w:rPr>
              <w:t>VO M1</w:t>
            </w:r>
          </w:p>
          <w:p w14:paraId="2DE4A672" w14:textId="3D81FF0F" w:rsidR="00186F53" w:rsidRPr="00DB132D" w:rsidRDefault="00186F53" w:rsidP="00835A6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30. 9. 2016</w:t>
            </w:r>
          </w:p>
        </w:tc>
      </w:tr>
      <w:tr w:rsidR="009A7503" w:rsidRPr="00DB132D" w14:paraId="35D1C9FE" w14:textId="77777777" w:rsidTr="00136F32">
        <w:trPr>
          <w:trHeight w:hRule="exact" w:val="113"/>
          <w:jc w:val="center"/>
        </w:trPr>
        <w:tc>
          <w:tcPr>
            <w:tcW w:w="90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C03584" w14:textId="77777777" w:rsidR="009A7503" w:rsidRPr="00DB132D" w:rsidRDefault="009A7503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Start w:id="13" w:name="BOD15"/>
      <w:tr w:rsidR="006B37F5" w:rsidRPr="00DB132D" w14:paraId="0A1A8E74" w14:textId="77777777" w:rsidTr="00136F32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EE239" w14:textId="77777777" w:rsidR="006B37F5" w:rsidRPr="00DB132D" w:rsidRDefault="006B37F5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14" w:author="Horník Jan" w:date="2013-06-28T12:00:00Z" w:original="1.5."/>
              </w:fldChar>
            </w:r>
            <w:bookmarkEnd w:id="13"/>
          </w:p>
        </w:tc>
        <w:tc>
          <w:tcPr>
            <w:tcW w:w="8363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799374" w14:textId="77777777" w:rsidR="006B37F5" w:rsidRPr="00DB132D" w:rsidRDefault="006B37F5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Ochrana oznamovatelů</w:t>
            </w:r>
          </w:p>
        </w:tc>
      </w:tr>
      <w:tr w:rsidR="008760D9" w:rsidRPr="00DB132D" w14:paraId="67F97CE7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D7AC4B" w14:textId="77777777" w:rsidR="008760D9" w:rsidRPr="00DB132D" w:rsidRDefault="0074401C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Nastavení postupů a </w:t>
            </w:r>
            <w:r w:rsidR="006B37F5" w:rsidRPr="00DB132D">
              <w:rPr>
                <w:rFonts w:ascii="Arial" w:hAnsi="Arial" w:cs="Arial"/>
                <w:sz w:val="22"/>
                <w:szCs w:val="22"/>
              </w:rPr>
              <w:t>pravidel, kter</w:t>
            </w:r>
            <w:r w:rsidR="00F87776" w:rsidRPr="00DB132D">
              <w:rPr>
                <w:rFonts w:ascii="Arial" w:hAnsi="Arial" w:cs="Arial"/>
                <w:sz w:val="22"/>
                <w:szCs w:val="22"/>
              </w:rPr>
              <w:t>é</w:t>
            </w:r>
            <w:r w:rsidR="006B37F5" w:rsidRPr="00DB132D">
              <w:rPr>
                <w:rFonts w:ascii="Arial" w:hAnsi="Arial" w:cs="Arial"/>
                <w:sz w:val="22"/>
                <w:szCs w:val="22"/>
              </w:rPr>
              <w:t xml:space="preserve"> zajistí podporu a ochranu osobám </w:t>
            </w:r>
            <w:r w:rsidR="00D50BE7" w:rsidRPr="00DB132D">
              <w:rPr>
                <w:rFonts w:ascii="Arial" w:hAnsi="Arial" w:cs="Arial"/>
                <w:sz w:val="22"/>
                <w:szCs w:val="22"/>
              </w:rPr>
              <w:t xml:space="preserve">v dobré víře </w:t>
            </w:r>
            <w:r w:rsidR="006B37F5" w:rsidRPr="00DB132D">
              <w:rPr>
                <w:rFonts w:ascii="Arial" w:hAnsi="Arial" w:cs="Arial"/>
                <w:sz w:val="22"/>
                <w:szCs w:val="22"/>
              </w:rPr>
              <w:t>upozorňujícím na možné korupční jednání.</w:t>
            </w:r>
          </w:p>
        </w:tc>
      </w:tr>
      <w:tr w:rsidR="00F07DBC" w:rsidRPr="00DB132D" w14:paraId="4BDB8F03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9AAF1" w14:textId="77777777" w:rsidR="00F07DBC" w:rsidRPr="00DB132D" w:rsidRDefault="00F07DBC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i/>
                <w:sz w:val="22"/>
                <w:szCs w:val="22"/>
              </w:rPr>
              <w:t>Součástí ochrany oznamovatelů je systém nestranného posuzování jakéhokoli jednání vůči zaměstnanci, které lze považovat za hrozbu, diskriminaci nebo represi za to, že podal oznámení o podezření na uskutečnění korupčního jednání.</w:t>
            </w:r>
          </w:p>
          <w:p w14:paraId="645FD782" w14:textId="77777777" w:rsidR="008C5386" w:rsidRPr="00DB132D" w:rsidRDefault="008C5386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i/>
                <w:sz w:val="22"/>
                <w:szCs w:val="22"/>
              </w:rPr>
              <w:t>Ochranné postupy musí obsahovat i ochranu zaměstnanců, u kterých se v rámci posouzení neprokáže pochybení.</w:t>
            </w:r>
          </w:p>
        </w:tc>
      </w:tr>
      <w:tr w:rsidR="00654112" w:rsidRPr="00DB132D" w14:paraId="442D3B59" w14:textId="77777777" w:rsidTr="00136F32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CEC48" w14:textId="2ACCFCBC" w:rsidR="00E67412" w:rsidRDefault="00D67866" w:rsidP="00E674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Úkol: </w:t>
            </w:r>
            <w:r w:rsidR="00E67412">
              <w:rPr>
                <w:rFonts w:ascii="Arial" w:hAnsi="Arial" w:cs="Arial"/>
                <w:b/>
                <w:sz w:val="22"/>
                <w:szCs w:val="22"/>
              </w:rPr>
              <w:t xml:space="preserve">Zajistit zpracování návrhu pro vydání </w:t>
            </w:r>
            <w:r w:rsidR="00B64586">
              <w:rPr>
                <w:rFonts w:ascii="Arial" w:hAnsi="Arial" w:cs="Arial"/>
                <w:b/>
                <w:sz w:val="22"/>
                <w:szCs w:val="22"/>
              </w:rPr>
              <w:t>interního aktu řízení</w:t>
            </w:r>
            <w:r w:rsidR="00E67412">
              <w:rPr>
                <w:rFonts w:ascii="Arial" w:hAnsi="Arial" w:cs="Arial"/>
                <w:b/>
                <w:sz w:val="22"/>
                <w:szCs w:val="22"/>
              </w:rPr>
              <w:t xml:space="preserve">, kterým bude nastaven důvěryhodný systém pro oznamování podezření na korupci zaměstnanci MŠMT i třetími stranami. </w:t>
            </w:r>
          </w:p>
          <w:p w14:paraId="423164F1" w14:textId="77777777" w:rsidR="00E67412" w:rsidRDefault="00E67412" w:rsidP="00E674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Odpovídá: VO M1</w:t>
            </w:r>
          </w:p>
          <w:p w14:paraId="362BAA33" w14:textId="3128855E" w:rsidR="00186F53" w:rsidRPr="00DB132D" w:rsidRDefault="00186F53" w:rsidP="00E674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30. 9. 2016</w:t>
            </w:r>
          </w:p>
        </w:tc>
      </w:tr>
    </w:tbl>
    <w:p w14:paraId="2CAD16F9" w14:textId="675196C3" w:rsidR="00835A63" w:rsidRDefault="00835A63" w:rsidP="007017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11B1DF" w14:textId="77777777" w:rsidR="00835A63" w:rsidRDefault="00835A63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8332"/>
        <w:gridCol w:w="12"/>
      </w:tblGrid>
      <w:tr w:rsidR="00507F31" w:rsidRPr="00DB132D" w14:paraId="244F970B" w14:textId="77777777" w:rsidTr="00A63E17">
        <w:trPr>
          <w:jc w:val="center"/>
        </w:trPr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FF99CC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bookmarkStart w:id="15" w:name="BOD2"/>
          <w:p w14:paraId="0757211B" w14:textId="77777777" w:rsidR="00507F31" w:rsidRPr="00DB132D" w:rsidRDefault="00507F31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1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16" w:author="Horník Jan" w:date="2013-06-28T12:00:00Z" w:original="2."/>
              </w:fldChar>
            </w:r>
            <w:bookmarkEnd w:id="15"/>
          </w:p>
        </w:tc>
        <w:tc>
          <w:tcPr>
            <w:tcW w:w="8344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FF99CC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DC9B3" w14:textId="77777777" w:rsidR="00507F31" w:rsidRPr="00DB132D" w:rsidRDefault="00507F31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Transparentnost</w:t>
            </w:r>
          </w:p>
        </w:tc>
      </w:tr>
      <w:tr w:rsidR="00507F31" w:rsidRPr="00DB132D" w14:paraId="02E20553" w14:textId="77777777" w:rsidTr="00A63E17">
        <w:trPr>
          <w:gridAfter w:val="1"/>
          <w:wAfter w:w="12" w:type="dxa"/>
          <w:jc w:val="center"/>
        </w:trPr>
        <w:tc>
          <w:tcPr>
            <w:tcW w:w="904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2519F" w14:textId="77777777" w:rsidR="00507F31" w:rsidRPr="00DB132D" w:rsidRDefault="00507F31" w:rsidP="00595F48">
            <w:pPr>
              <w:autoSpaceDE w:val="0"/>
              <w:autoSpaceDN w:val="0"/>
              <w:adjustRightInd w:val="0"/>
              <w:ind w:left="539" w:hanging="539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>Cíl:</w:t>
            </w: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ab/>
              <w:t>Odrazovat od korupčního jednání prostřednictvím zvyšování pravděpodobnosti odhalení.</w:t>
            </w:r>
          </w:p>
        </w:tc>
      </w:tr>
      <w:tr w:rsidR="00507F31" w:rsidRPr="00DB132D" w14:paraId="0BC7A8D8" w14:textId="77777777" w:rsidTr="00A63E17">
        <w:trPr>
          <w:gridAfter w:val="1"/>
          <w:wAfter w:w="12" w:type="dxa"/>
          <w:jc w:val="center"/>
        </w:trPr>
        <w:tc>
          <w:tcPr>
            <w:tcW w:w="9047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2FC59" w14:textId="42DCEAF7" w:rsidR="00507F31" w:rsidRPr="00DB132D" w:rsidRDefault="00507F31" w:rsidP="004F5BE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Transparentnost umožňuje veřejnou kontrolu hospodaření státu jak zaměstnanci, tak</w:t>
            </w:r>
            <w:r w:rsidR="004F5BEE" w:rsidRPr="00DB132D">
              <w:rPr>
                <w:rFonts w:ascii="Arial" w:hAnsi="Arial" w:cs="Arial"/>
                <w:sz w:val="22"/>
                <w:szCs w:val="22"/>
              </w:rPr>
              <w:t> </w:t>
            </w:r>
            <w:r w:rsidRPr="00DB132D">
              <w:rPr>
                <w:rFonts w:ascii="Arial" w:hAnsi="Arial" w:cs="Arial"/>
                <w:sz w:val="22"/>
                <w:szCs w:val="22"/>
              </w:rPr>
              <w:t>veřejností. Zároveň zvyšuje pravděpodobnost odhalení korupce a </w:t>
            </w:r>
            <w:r w:rsidR="00A7323E" w:rsidRPr="00DB132D">
              <w:rPr>
                <w:rFonts w:ascii="Arial" w:hAnsi="Arial" w:cs="Arial"/>
                <w:sz w:val="22"/>
                <w:szCs w:val="22"/>
              </w:rPr>
              <w:t xml:space="preserve">tím </w:t>
            </w:r>
            <w:r w:rsidR="003D7D92" w:rsidRPr="00DB132D">
              <w:rPr>
                <w:rFonts w:ascii="Arial" w:hAnsi="Arial" w:cs="Arial"/>
                <w:sz w:val="22"/>
                <w:szCs w:val="22"/>
              </w:rPr>
              <w:t>odrazuje od </w:t>
            </w:r>
            <w:r w:rsidRPr="00DB132D">
              <w:rPr>
                <w:rFonts w:ascii="Arial" w:hAnsi="Arial" w:cs="Arial"/>
                <w:sz w:val="22"/>
                <w:szCs w:val="22"/>
              </w:rPr>
              <w:t>korupčního jednání.</w:t>
            </w:r>
          </w:p>
        </w:tc>
      </w:tr>
      <w:tr w:rsidR="004A0022" w:rsidRPr="00DB132D" w14:paraId="2CE387EE" w14:textId="77777777" w:rsidTr="00A63E17">
        <w:trPr>
          <w:gridAfter w:val="1"/>
          <w:wAfter w:w="12" w:type="dxa"/>
          <w:trHeight w:hRule="exact" w:val="255"/>
          <w:jc w:val="center"/>
        </w:trPr>
        <w:tc>
          <w:tcPr>
            <w:tcW w:w="904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A52E07" w14:textId="77777777" w:rsidR="004A0022" w:rsidRPr="00DB132D" w:rsidRDefault="004A0022" w:rsidP="00595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F31" w:rsidRPr="00DB132D" w14:paraId="0130522A" w14:textId="77777777" w:rsidTr="00A63E17">
        <w:trPr>
          <w:jc w:val="center"/>
        </w:trPr>
        <w:tc>
          <w:tcPr>
            <w:tcW w:w="715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27095" w14:textId="77777777" w:rsidR="00507F31" w:rsidRPr="00DB132D" w:rsidRDefault="00507F31" w:rsidP="00595F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17" w:author="Horník Jan" w:date="2013-06-28T12:00:00Z" w:original="2.1."/>
              </w:fldChar>
            </w:r>
          </w:p>
        </w:tc>
        <w:tc>
          <w:tcPr>
            <w:tcW w:w="8344" w:type="dxa"/>
            <w:gridSpan w:val="2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5C3AC" w14:textId="77777777" w:rsidR="00507F31" w:rsidRPr="00DB132D" w:rsidRDefault="0089310F" w:rsidP="00595F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Zveřejňování informací o veřejných prostředcích</w:t>
            </w:r>
          </w:p>
        </w:tc>
      </w:tr>
      <w:tr w:rsidR="00507F31" w:rsidRPr="00DB132D" w14:paraId="0A7A5A47" w14:textId="77777777" w:rsidTr="00A63E17">
        <w:trPr>
          <w:gridAfter w:val="1"/>
          <w:wAfter w:w="12" w:type="dxa"/>
          <w:jc w:val="center"/>
        </w:trPr>
        <w:tc>
          <w:tcPr>
            <w:tcW w:w="90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CBCF9" w14:textId="77777777" w:rsidR="00507F31" w:rsidRPr="00DB132D" w:rsidRDefault="0028484A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 xml:space="preserve">Transparentní postupy a zpřístupňování </w:t>
            </w:r>
            <w:r w:rsidR="00A7323E" w:rsidRPr="00DB132D">
              <w:rPr>
                <w:rFonts w:ascii="Arial" w:hAnsi="Arial" w:cs="Arial"/>
                <w:sz w:val="22"/>
                <w:szCs w:val="22"/>
              </w:rPr>
              <w:t>informací o </w:t>
            </w:r>
            <w:r w:rsidR="0089310F" w:rsidRPr="00DB132D">
              <w:rPr>
                <w:rFonts w:ascii="Arial" w:hAnsi="Arial" w:cs="Arial"/>
                <w:sz w:val="22"/>
                <w:szCs w:val="22"/>
              </w:rPr>
              <w:t>nakládání s veřejnými prostředky</w:t>
            </w:r>
            <w:r w:rsidR="00A7323E" w:rsidRPr="00DB13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6497" w:rsidRPr="00DB132D">
              <w:rPr>
                <w:rFonts w:ascii="Arial" w:hAnsi="Arial" w:cs="Arial"/>
                <w:sz w:val="22"/>
                <w:szCs w:val="22"/>
              </w:rPr>
              <w:t xml:space="preserve">zaměstnancům a další </w:t>
            </w:r>
            <w:r w:rsidRPr="00DB132D">
              <w:rPr>
                <w:rFonts w:ascii="Arial" w:hAnsi="Arial" w:cs="Arial"/>
                <w:sz w:val="22"/>
                <w:szCs w:val="22"/>
              </w:rPr>
              <w:t>veřejnosti, zveřej</w:t>
            </w:r>
            <w:r w:rsidR="0052544C" w:rsidRPr="00DB132D">
              <w:rPr>
                <w:rFonts w:ascii="Arial" w:hAnsi="Arial" w:cs="Arial"/>
                <w:sz w:val="22"/>
                <w:szCs w:val="22"/>
              </w:rPr>
              <w:t>ňování informací centrálně a ve </w:t>
            </w:r>
            <w:r w:rsidRPr="00DB132D">
              <w:rPr>
                <w:rFonts w:ascii="Arial" w:hAnsi="Arial" w:cs="Arial"/>
                <w:sz w:val="22"/>
                <w:szCs w:val="22"/>
              </w:rPr>
              <w:t>formátu, který umožňuje jejich jednoduché zpracování.</w:t>
            </w:r>
          </w:p>
        </w:tc>
      </w:tr>
      <w:tr w:rsidR="00507F31" w:rsidRPr="00DB132D" w14:paraId="68D3D50C" w14:textId="77777777" w:rsidTr="00A63E17">
        <w:trPr>
          <w:gridAfter w:val="1"/>
          <w:wAfter w:w="12" w:type="dxa"/>
          <w:jc w:val="center"/>
        </w:trPr>
        <w:tc>
          <w:tcPr>
            <w:tcW w:w="90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60F1E" w14:textId="6CF5A125" w:rsidR="0028484A" w:rsidRPr="00186F53" w:rsidRDefault="000F09CE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186F53">
              <w:rPr>
                <w:rFonts w:ascii="Arial" w:hAnsi="Arial" w:cs="Arial"/>
                <w:i/>
                <w:sz w:val="22"/>
                <w:szCs w:val="22"/>
              </w:rPr>
              <w:t>Zveřejňování informací bude prováděno v souladu s platnou legislativou, v rozsahu daném vnitřním předpisem organizace a v tomto vymezení bude zahrnovat</w:t>
            </w:r>
            <w:r w:rsidR="0028484A" w:rsidRPr="00186F53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1EDEA3A7" w14:textId="77777777" w:rsidR="0089310F" w:rsidRPr="00186F53" w:rsidRDefault="0089310F" w:rsidP="00595F48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i/>
                <w:sz w:val="22"/>
                <w:szCs w:val="22"/>
              </w:rPr>
            </w:pPr>
            <w:r w:rsidRPr="00186F53">
              <w:rPr>
                <w:rFonts w:ascii="Arial" w:hAnsi="Arial" w:cs="Arial"/>
                <w:i/>
                <w:sz w:val="22"/>
                <w:szCs w:val="22"/>
              </w:rPr>
              <w:t>informace o rozpočtu;</w:t>
            </w:r>
          </w:p>
          <w:p w14:paraId="5229126F" w14:textId="0CB4FB01" w:rsidR="00186F53" w:rsidRPr="00186F53" w:rsidRDefault="00186F53" w:rsidP="00595F48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i/>
                <w:sz w:val="22"/>
                <w:szCs w:val="22"/>
              </w:rPr>
            </w:pPr>
            <w:r w:rsidRPr="00186F53">
              <w:rPr>
                <w:rFonts w:ascii="Arial" w:hAnsi="Arial" w:cs="Arial"/>
                <w:sz w:val="22"/>
                <w:szCs w:val="22"/>
              </w:rPr>
              <w:t>informace vztahující se k výběru dodavatelů, vč. veřejných zakázek;</w:t>
            </w:r>
          </w:p>
          <w:p w14:paraId="4D08C1C3" w14:textId="77777777" w:rsidR="0028484A" w:rsidRPr="00186F53" w:rsidRDefault="0028484A" w:rsidP="00595F48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i/>
                <w:sz w:val="22"/>
                <w:szCs w:val="22"/>
              </w:rPr>
            </w:pPr>
            <w:r w:rsidRPr="00186F53">
              <w:rPr>
                <w:rFonts w:ascii="Arial" w:hAnsi="Arial" w:cs="Arial"/>
                <w:i/>
                <w:sz w:val="22"/>
                <w:szCs w:val="22"/>
              </w:rPr>
              <w:t>informace vztahující se k poskytování grantů, dotací, evropských či jiných fondů;</w:t>
            </w:r>
          </w:p>
          <w:p w14:paraId="63FE41CF" w14:textId="488090D4" w:rsidR="0028484A" w:rsidRPr="00186F53" w:rsidRDefault="0028484A" w:rsidP="00595F48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i/>
                <w:sz w:val="22"/>
                <w:szCs w:val="22"/>
              </w:rPr>
            </w:pPr>
            <w:r w:rsidRPr="00186F53">
              <w:rPr>
                <w:rFonts w:ascii="Arial" w:hAnsi="Arial" w:cs="Arial"/>
                <w:i/>
                <w:sz w:val="22"/>
                <w:szCs w:val="22"/>
              </w:rPr>
              <w:t xml:space="preserve">informace vztahující se k nakládání </w:t>
            </w:r>
            <w:r w:rsidR="00186F53" w:rsidRPr="00186F53">
              <w:rPr>
                <w:rFonts w:ascii="Arial" w:hAnsi="Arial" w:cs="Arial"/>
                <w:i/>
                <w:iCs/>
                <w:sz w:val="22"/>
                <w:szCs w:val="22"/>
              </w:rPr>
              <w:t>majetkem státu, s nímž má rezort právo hospodařit</w:t>
            </w:r>
            <w:r w:rsidRPr="00186F53">
              <w:rPr>
                <w:rFonts w:ascii="Arial" w:hAnsi="Arial" w:cs="Arial"/>
                <w:i/>
                <w:sz w:val="22"/>
                <w:szCs w:val="22"/>
              </w:rPr>
              <w:t>;</w:t>
            </w:r>
          </w:p>
          <w:p w14:paraId="359F54F6" w14:textId="3C8B4459" w:rsidR="00186F53" w:rsidRPr="00186F53" w:rsidRDefault="00186F53" w:rsidP="00595F48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i/>
                <w:sz w:val="22"/>
                <w:szCs w:val="22"/>
              </w:rPr>
            </w:pPr>
            <w:r w:rsidRPr="00186F53">
              <w:rPr>
                <w:rFonts w:ascii="Arial" w:hAnsi="Arial" w:cs="Arial"/>
                <w:i/>
                <w:iCs/>
                <w:sz w:val="22"/>
                <w:szCs w:val="22"/>
              </w:rPr>
              <w:t>informace o uskutečněných veřejných zakázkách vč. veřejných zakázek malého rozsahu;</w:t>
            </w:r>
          </w:p>
          <w:p w14:paraId="45C9E226" w14:textId="5D845366" w:rsidR="00186F53" w:rsidRPr="00186F53" w:rsidRDefault="00186F53" w:rsidP="00595F48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i/>
                <w:sz w:val="22"/>
                <w:szCs w:val="22"/>
              </w:rPr>
            </w:pPr>
            <w:r w:rsidRPr="00186F53">
              <w:rPr>
                <w:rFonts w:ascii="Arial" w:hAnsi="Arial" w:cs="Arial"/>
                <w:i/>
                <w:sz w:val="22"/>
                <w:szCs w:val="22"/>
              </w:rPr>
              <w:t>uzavřené smlouvy, vč. Dodatků;</w:t>
            </w:r>
          </w:p>
          <w:p w14:paraId="71F1EB11" w14:textId="7871D47A" w:rsidR="00186F53" w:rsidRPr="00A63E17" w:rsidRDefault="005F3A9C" w:rsidP="00186F53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86F53">
              <w:rPr>
                <w:rFonts w:ascii="Arial" w:hAnsi="Arial" w:cs="Arial"/>
                <w:i/>
                <w:sz w:val="22"/>
                <w:szCs w:val="22"/>
              </w:rPr>
              <w:t>informace o zveřejňovaných poradcích</w:t>
            </w:r>
            <w:r w:rsidR="00BC487B" w:rsidRPr="00186F53">
              <w:rPr>
                <w:rFonts w:ascii="Arial" w:hAnsi="Arial" w:cs="Arial"/>
                <w:i/>
                <w:sz w:val="22"/>
                <w:szCs w:val="22"/>
              </w:rPr>
              <w:t xml:space="preserve"> a poradních orgánech</w:t>
            </w:r>
            <w:r w:rsidR="00186F53" w:rsidRPr="00186F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a to v rozsahu uvedeném v příloze č. 1. </w:t>
            </w:r>
          </w:p>
        </w:tc>
      </w:tr>
      <w:tr w:rsidR="00835A63" w:rsidRPr="00DB132D" w14:paraId="00693546" w14:textId="77777777" w:rsidTr="00B64586">
        <w:trPr>
          <w:gridAfter w:val="1"/>
          <w:wAfter w:w="12" w:type="dxa"/>
          <w:trHeight w:val="7588"/>
          <w:jc w:val="center"/>
        </w:trPr>
        <w:tc>
          <w:tcPr>
            <w:tcW w:w="9047" w:type="dxa"/>
            <w:gridSpan w:val="2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D6B16" w14:textId="2F55F6DE" w:rsidR="00835A63" w:rsidRDefault="00835A63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Úkol: Zajistit zveřejňování údajů o rozpočtu</w:t>
            </w:r>
          </w:p>
          <w:p w14:paraId="6C720EB9" w14:textId="2F8F7C1E" w:rsidR="00835A63" w:rsidRDefault="00835A63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Odpovídá: náměstek pro řízení sekce ekonomické</w:t>
            </w:r>
          </w:p>
          <w:p w14:paraId="6EABAE5D" w14:textId="6FB48272" w:rsidR="00835A63" w:rsidRDefault="00835A63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Termín plnění: </w:t>
            </w:r>
            <w:r w:rsidR="004842E3">
              <w:rPr>
                <w:rFonts w:ascii="Arial" w:hAnsi="Arial" w:cs="Arial"/>
                <w:b/>
                <w:sz w:val="22"/>
                <w:szCs w:val="22"/>
              </w:rPr>
              <w:t>každoročně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 schválení rozpočtu na daný rok</w:t>
            </w:r>
          </w:p>
          <w:p w14:paraId="2E994904" w14:textId="77777777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51F845" w14:textId="447C05A6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Úkol: Zajistit zveřejňování informací k dotačním a rozvojovým titulům MŠMT</w:t>
            </w:r>
          </w:p>
          <w:p w14:paraId="24AE3E91" w14:textId="5B9B4CF8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Odpovídá: náměstek pro řízení sekce vzdělávání</w:t>
            </w:r>
          </w:p>
          <w:p w14:paraId="4BA30FCD" w14:textId="7CC05178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průběžně – vždy po ukončení vyhlášeně výzvy</w:t>
            </w:r>
          </w:p>
          <w:p w14:paraId="73AD28F8" w14:textId="77777777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E50391" w14:textId="77777777" w:rsidR="00835A63" w:rsidRDefault="00835A63" w:rsidP="00B27420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Úkol: Zajistit zveřejňování informací k dotačním a rozvojovým titulům MŠMT</w:t>
            </w:r>
          </w:p>
          <w:p w14:paraId="28C6B508" w14:textId="12F28E11" w:rsidR="00835A63" w:rsidRDefault="00835A63" w:rsidP="00B27420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Odpovídá: náměstek pro řízení sekce pro podporu sportu, mládeže a tělovýchovy</w:t>
            </w:r>
          </w:p>
          <w:p w14:paraId="6A1BC859" w14:textId="77777777" w:rsidR="00835A63" w:rsidRDefault="00835A63" w:rsidP="00B27420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průběžně – vždy po ukončení vyhlášeně výzvy</w:t>
            </w:r>
          </w:p>
          <w:p w14:paraId="2B41EF8C" w14:textId="77777777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9803F2" w14:textId="7B9EF2F4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Úkol: Zajistit zveřejňování informací k programům v gesci sekce vysokého školství, vědy a výzkumu.</w:t>
            </w:r>
          </w:p>
          <w:p w14:paraId="1EDC4397" w14:textId="31A4ECFF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Odpovídá: náměstek pro řízení sekce vysokého školství, vědy a výzkumu </w:t>
            </w:r>
          </w:p>
          <w:p w14:paraId="0319C842" w14:textId="68DAB58D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Termín plnění: průběžně </w:t>
            </w:r>
          </w:p>
          <w:p w14:paraId="3C58CA34" w14:textId="77777777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7035AE" w14:textId="2A5FF64F" w:rsidR="00835A63" w:rsidRDefault="00835A63" w:rsidP="00C22CEF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Úkol: Zajistit zveřejňování informací o výzvách OP VVV</w:t>
            </w:r>
          </w:p>
          <w:p w14:paraId="30C815B3" w14:textId="079ECA24" w:rsidR="00835A63" w:rsidRDefault="00835A63" w:rsidP="00C22CEF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Odpovídá: náměstek pro řízení sekce operačních programů </w:t>
            </w:r>
          </w:p>
          <w:p w14:paraId="06F5446E" w14:textId="2973D670" w:rsidR="00835A63" w:rsidRDefault="00835A63" w:rsidP="00C22CEF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průběžně</w:t>
            </w:r>
          </w:p>
          <w:p w14:paraId="2CF33620" w14:textId="77777777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CFC2B3" w14:textId="0208A5BC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Úkol: Zajistit zveřejňování informací o nakládání s majetkem MŠMT (prodej, pronájem, převod)</w:t>
            </w:r>
          </w:p>
          <w:p w14:paraId="436D1196" w14:textId="15570A1D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Odpovídá: náměstek pro řízení sekce majetkové </w:t>
            </w:r>
          </w:p>
          <w:p w14:paraId="4A48890C" w14:textId="5BF655F6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průběžně</w:t>
            </w:r>
          </w:p>
          <w:p w14:paraId="3E78F2AA" w14:textId="77777777" w:rsidR="00835A63" w:rsidRDefault="00835A63" w:rsidP="00CA4B96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40F9E7" w14:textId="2193AD55" w:rsidR="00835A63" w:rsidRDefault="00835A63" w:rsidP="00C22CEF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Úkol: Zajistit zveřejňování informací o poradcích a poradních orgánech MŠMT</w:t>
            </w:r>
          </w:p>
          <w:p w14:paraId="4ABFC8DE" w14:textId="344F2339" w:rsidR="00835A63" w:rsidRDefault="00835A63" w:rsidP="00C22CEF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Odpovídá: VO M1 ve spolu práci s </w:t>
            </w:r>
            <w:r w:rsidR="00DE3150">
              <w:rPr>
                <w:rFonts w:ascii="Arial" w:hAnsi="Arial" w:cs="Arial"/>
                <w:b/>
                <w:sz w:val="22"/>
                <w:szCs w:val="22"/>
              </w:rPr>
              <w:t>ředitelem Kanceláře ministra</w:t>
            </w:r>
          </w:p>
          <w:p w14:paraId="70AC3843" w14:textId="1BB31DE8" w:rsidR="00835A63" w:rsidRPr="00A63E17" w:rsidRDefault="00B64586" w:rsidP="00A63E17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835A63">
              <w:rPr>
                <w:rFonts w:ascii="Arial" w:hAnsi="Arial" w:cs="Arial"/>
                <w:b/>
                <w:sz w:val="22"/>
                <w:szCs w:val="22"/>
              </w:rPr>
              <w:t xml:space="preserve">ermín plnění: </w:t>
            </w:r>
            <w:r w:rsidR="004842E3">
              <w:rPr>
                <w:rFonts w:ascii="Arial" w:hAnsi="Arial" w:cs="Arial"/>
                <w:b/>
                <w:sz w:val="22"/>
                <w:szCs w:val="22"/>
              </w:rPr>
              <w:t xml:space="preserve">každoročně </w:t>
            </w:r>
            <w:r w:rsidR="00835A63">
              <w:rPr>
                <w:rFonts w:ascii="Arial" w:hAnsi="Arial" w:cs="Arial"/>
                <w:b/>
                <w:sz w:val="22"/>
                <w:szCs w:val="22"/>
              </w:rPr>
              <w:t>k 15. 2. a</w:t>
            </w:r>
            <w:r w:rsidR="004842E3">
              <w:rPr>
                <w:rFonts w:ascii="Arial" w:hAnsi="Arial" w:cs="Arial"/>
                <w:b/>
                <w:sz w:val="22"/>
                <w:szCs w:val="22"/>
              </w:rPr>
              <w:t xml:space="preserve"> k 15. 8.</w:t>
            </w:r>
          </w:p>
        </w:tc>
      </w:tr>
      <w:tr w:rsidR="0089310F" w:rsidRPr="00DB132D" w14:paraId="79BD1C21" w14:textId="77777777" w:rsidTr="00A63E17">
        <w:trPr>
          <w:gridAfter w:val="1"/>
          <w:wAfter w:w="12" w:type="dxa"/>
          <w:trHeight w:hRule="exact" w:val="113"/>
          <w:jc w:val="center"/>
        </w:trPr>
        <w:tc>
          <w:tcPr>
            <w:tcW w:w="9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49F3D" w14:textId="77777777" w:rsidR="0089310F" w:rsidRDefault="0089310F" w:rsidP="0089310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7DEB42" w14:textId="77777777" w:rsidR="00A63E17" w:rsidRDefault="00A63E17" w:rsidP="0089310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B725CE" w14:textId="77777777" w:rsidR="00A63E17" w:rsidRDefault="00A63E17" w:rsidP="0089310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98A9F7" w14:textId="77777777" w:rsidR="00A63E17" w:rsidRPr="00DB132D" w:rsidRDefault="00A63E17" w:rsidP="0089310F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9310F" w:rsidRPr="00DB132D" w14:paraId="2D4DC04E" w14:textId="77777777" w:rsidTr="00A63E17">
        <w:trPr>
          <w:gridAfter w:val="1"/>
          <w:wAfter w:w="12" w:type="dxa"/>
          <w:jc w:val="center"/>
        </w:trPr>
        <w:tc>
          <w:tcPr>
            <w:tcW w:w="71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D0F0E" w14:textId="77777777" w:rsidR="0089310F" w:rsidRPr="00DB132D" w:rsidRDefault="0089310F" w:rsidP="00595F48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18" w:author="Horník Jan" w:date="2013-06-28T12:00:00Z" w:original="2.2."/>
              </w:fldChar>
            </w:r>
          </w:p>
        </w:tc>
        <w:tc>
          <w:tcPr>
            <w:tcW w:w="833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6769AC" w14:textId="77777777" w:rsidR="0089310F" w:rsidRPr="00DB132D" w:rsidRDefault="008D44CE" w:rsidP="00595F48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Zveřejňování informací o</w:t>
            </w:r>
            <w:r w:rsidR="00CA2FD0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systému rozhodování</w:t>
            </w:r>
          </w:p>
        </w:tc>
      </w:tr>
      <w:tr w:rsidR="0089310F" w:rsidRPr="00DB132D" w14:paraId="4E120B5E" w14:textId="77777777" w:rsidTr="00A63E17">
        <w:trPr>
          <w:gridAfter w:val="1"/>
          <w:wAfter w:w="12" w:type="dxa"/>
          <w:jc w:val="center"/>
        </w:trPr>
        <w:tc>
          <w:tcPr>
            <w:tcW w:w="9047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73B7E" w14:textId="77777777" w:rsidR="0089310F" w:rsidRPr="00DB132D" w:rsidRDefault="008F5FB6" w:rsidP="0064244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Transparentní aktivní zpřístupňování informací o struktuře a kompetencích při rozhodování organizace zaměstnancům a další veřejnosti.</w:t>
            </w:r>
          </w:p>
        </w:tc>
      </w:tr>
      <w:tr w:rsidR="00BC29AE" w:rsidRPr="00DB132D" w14:paraId="29EB141D" w14:textId="77777777" w:rsidTr="00A63E17">
        <w:trPr>
          <w:gridAfter w:val="1"/>
          <w:wAfter w:w="12" w:type="dxa"/>
          <w:jc w:val="center"/>
        </w:trPr>
        <w:tc>
          <w:tcPr>
            <w:tcW w:w="90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AF0A3" w14:textId="6C017178" w:rsidR="00BC29AE" w:rsidRPr="00DB132D" w:rsidRDefault="00BC29AE" w:rsidP="007C5EDD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i/>
                <w:sz w:val="22"/>
                <w:szCs w:val="22"/>
              </w:rPr>
              <w:t>Zveřejňování informací bude prováděno v souladu s platnou legislativou, v rozsahu daném vnitřním předpisem organizace a v tomto vymezení bude zahrnovat:</w:t>
            </w:r>
          </w:p>
          <w:p w14:paraId="22A3A2B9" w14:textId="43618238" w:rsidR="00BC487B" w:rsidRPr="001848CB" w:rsidRDefault="00BC29AE" w:rsidP="00642444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sz w:val="22"/>
                <w:szCs w:val="22"/>
              </w:rPr>
            </w:pP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informace o struktuře </w:t>
            </w:r>
            <w:r w:rsidR="004F5BEE" w:rsidRPr="001848CB">
              <w:rPr>
                <w:rFonts w:ascii="Arial" w:hAnsi="Arial" w:cs="Arial"/>
                <w:i/>
                <w:sz w:val="22"/>
                <w:szCs w:val="22"/>
              </w:rPr>
              <w:t>služebního úřadu</w:t>
            </w:r>
            <w:r w:rsidR="00BC487B" w:rsidRPr="001848CB"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organizace, vy</w:t>
            </w:r>
            <w:r w:rsidR="00A6608B" w:rsidRPr="001848CB">
              <w:rPr>
                <w:rFonts w:ascii="Arial" w:hAnsi="Arial" w:cs="Arial"/>
                <w:i/>
                <w:sz w:val="22"/>
                <w:szCs w:val="22"/>
              </w:rPr>
              <w:t>jadřující vztahy podřízenosti a 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nadřízenost</w:t>
            </w:r>
            <w:r w:rsidR="003B31C4">
              <w:rPr>
                <w:rFonts w:ascii="Arial" w:hAnsi="Arial" w:cs="Arial"/>
                <w:i/>
                <w:sz w:val="22"/>
                <w:szCs w:val="22"/>
              </w:rPr>
              <w:t>i,</w:t>
            </w:r>
          </w:p>
          <w:p w14:paraId="3B489ED0" w14:textId="1C0CA1BF" w:rsidR="00BC29AE" w:rsidRPr="001848CB" w:rsidRDefault="004F5BEE" w:rsidP="00642444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sz w:val="22"/>
                <w:szCs w:val="22"/>
              </w:rPr>
            </w:pPr>
            <w:r w:rsidRPr="001848CB">
              <w:rPr>
                <w:rFonts w:ascii="Arial" w:hAnsi="Arial" w:cs="Arial"/>
                <w:i/>
                <w:sz w:val="22"/>
                <w:szCs w:val="22"/>
              </w:rPr>
              <w:t>kontakty na představené/</w:t>
            </w:r>
            <w:r w:rsidR="00BC487B" w:rsidRPr="001848CB">
              <w:rPr>
                <w:rFonts w:ascii="Arial" w:hAnsi="Arial" w:cs="Arial"/>
                <w:i/>
                <w:sz w:val="22"/>
                <w:szCs w:val="22"/>
              </w:rPr>
              <w:t>vedoucí pracovníky až na úroveň vedoucích oddělení,</w:t>
            </w:r>
          </w:p>
          <w:p w14:paraId="46FE6EBD" w14:textId="66CF34C1" w:rsidR="00BC487B" w:rsidRPr="00DB132D" w:rsidRDefault="00BC487B" w:rsidP="00BC487B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b/>
                <w:sz w:val="22"/>
                <w:szCs w:val="22"/>
              </w:rPr>
            </w:pPr>
            <w:r w:rsidRPr="001848CB">
              <w:rPr>
                <w:rFonts w:ascii="Arial" w:hAnsi="Arial" w:cs="Arial"/>
                <w:i/>
                <w:sz w:val="22"/>
                <w:szCs w:val="22"/>
              </w:rPr>
              <w:t>pr</w:t>
            </w:r>
            <w:r w:rsidR="004F5BEE" w:rsidRPr="001848CB">
              <w:rPr>
                <w:rFonts w:ascii="Arial" w:hAnsi="Arial" w:cs="Arial"/>
                <w:i/>
                <w:sz w:val="22"/>
                <w:szCs w:val="22"/>
              </w:rPr>
              <w:t>ofesní životopisy představených/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vedoucích zaměstnanců</w:t>
            </w:r>
            <w:r w:rsidR="00186F53">
              <w:rPr>
                <w:rFonts w:ascii="Arial" w:hAnsi="Arial" w:cs="Arial"/>
                <w:i/>
                <w:sz w:val="22"/>
                <w:szCs w:val="22"/>
              </w:rPr>
              <w:t xml:space="preserve"> od úrovně ředitelů odboru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654112" w:rsidRPr="00DB132D" w14:paraId="1E77EAFE" w14:textId="77777777" w:rsidTr="00A63E17">
        <w:trPr>
          <w:gridAfter w:val="1"/>
          <w:wAfter w:w="12" w:type="dxa"/>
          <w:jc w:val="center"/>
        </w:trPr>
        <w:tc>
          <w:tcPr>
            <w:tcW w:w="904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AF292" w14:textId="4ADB8B13" w:rsidR="00654112" w:rsidRDefault="00654112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Úkol: </w:t>
            </w:r>
            <w:r w:rsidR="00D67866">
              <w:rPr>
                <w:rFonts w:ascii="Arial" w:hAnsi="Arial" w:cs="Arial"/>
                <w:b/>
                <w:sz w:val="22"/>
                <w:szCs w:val="22"/>
              </w:rPr>
              <w:t xml:space="preserve">Zajistit pravidelnou aktualizaci webových stránek MŠMT s kontakty na </w:t>
            </w:r>
            <w:r w:rsidR="00CA4B96">
              <w:rPr>
                <w:rFonts w:ascii="Arial" w:hAnsi="Arial" w:cs="Arial"/>
                <w:b/>
                <w:sz w:val="22"/>
                <w:szCs w:val="22"/>
              </w:rPr>
              <w:t xml:space="preserve">vedení MŠMT </w:t>
            </w:r>
          </w:p>
          <w:p w14:paraId="69187838" w14:textId="5371D533" w:rsidR="00654112" w:rsidRDefault="00654112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Odpovídá: </w:t>
            </w:r>
            <w:r w:rsidR="00DE3150">
              <w:rPr>
                <w:rFonts w:ascii="Arial" w:hAnsi="Arial" w:cs="Arial"/>
                <w:b/>
                <w:sz w:val="22"/>
                <w:szCs w:val="22"/>
              </w:rPr>
              <w:t>ředitel Kanceláře ministra</w:t>
            </w:r>
          </w:p>
          <w:p w14:paraId="015315E7" w14:textId="77777777" w:rsidR="00654112" w:rsidRDefault="00654112" w:rsidP="00835A6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</w:t>
            </w:r>
            <w:r w:rsidR="00B27420">
              <w:rPr>
                <w:rFonts w:ascii="Arial" w:hAnsi="Arial" w:cs="Arial"/>
                <w:b/>
                <w:sz w:val="22"/>
                <w:szCs w:val="22"/>
              </w:rPr>
              <w:t xml:space="preserve"> průběžně</w:t>
            </w:r>
          </w:p>
          <w:p w14:paraId="4B44FE5F" w14:textId="77777777" w:rsidR="002D731B" w:rsidRDefault="002D731B" w:rsidP="002D731B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44EDD5" w14:textId="0916A66C" w:rsidR="002D731B" w:rsidRPr="00DE3150" w:rsidRDefault="002D731B" w:rsidP="002D731B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DE3150">
              <w:rPr>
                <w:rFonts w:ascii="Arial" w:hAnsi="Arial" w:cs="Arial"/>
                <w:b/>
                <w:sz w:val="22"/>
                <w:szCs w:val="22"/>
              </w:rPr>
              <w:t>Úkol: Zajistit zveřejnění organizační struktury MŠMT, ze které budou patrny vztahy podřízenosti a nadřízenosti, na webových stránkách MŠMT.</w:t>
            </w:r>
          </w:p>
          <w:p w14:paraId="0564BC48" w14:textId="2D0CB1D6" w:rsidR="002D731B" w:rsidRPr="00DE3150" w:rsidRDefault="002D731B" w:rsidP="002D731B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DE3150">
              <w:rPr>
                <w:rFonts w:ascii="Arial" w:hAnsi="Arial" w:cs="Arial"/>
                <w:b/>
                <w:sz w:val="22"/>
                <w:szCs w:val="22"/>
              </w:rPr>
              <w:t>Odpovídá: státní tajemník</w:t>
            </w:r>
          </w:p>
          <w:p w14:paraId="0497B69B" w14:textId="6E9A35BE" w:rsidR="002D731B" w:rsidRPr="00DE3150" w:rsidRDefault="002D731B" w:rsidP="002D731B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DE3150">
              <w:rPr>
                <w:rFonts w:ascii="Arial" w:hAnsi="Arial" w:cs="Arial"/>
                <w:b/>
                <w:sz w:val="22"/>
                <w:szCs w:val="22"/>
              </w:rPr>
              <w:t>Termín plnění: vždy při změně organizační struktury</w:t>
            </w:r>
          </w:p>
          <w:p w14:paraId="6B7BF35B" w14:textId="77777777" w:rsidR="00186F53" w:rsidRPr="00DE3150" w:rsidRDefault="00186F53" w:rsidP="00835A6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39EF2F" w14:textId="5A1E8402" w:rsidR="00186F53" w:rsidRPr="00DE3150" w:rsidRDefault="00186F53" w:rsidP="00186F5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DE3150">
              <w:rPr>
                <w:rFonts w:ascii="Arial" w:hAnsi="Arial" w:cs="Arial"/>
                <w:b/>
                <w:sz w:val="22"/>
                <w:szCs w:val="22"/>
              </w:rPr>
              <w:t xml:space="preserve">Úkol: Zajistit </w:t>
            </w:r>
            <w:r w:rsidR="002D731B" w:rsidRPr="00DE3150">
              <w:rPr>
                <w:rFonts w:ascii="Arial" w:hAnsi="Arial" w:cs="Arial"/>
                <w:b/>
                <w:sz w:val="22"/>
                <w:szCs w:val="22"/>
              </w:rPr>
              <w:t xml:space="preserve">na webových stránkách zveřejnění profesních životopisů náměstků </w:t>
            </w:r>
            <w:r w:rsidR="00DE3150">
              <w:rPr>
                <w:rFonts w:ascii="Arial" w:hAnsi="Arial" w:cs="Arial"/>
                <w:b/>
                <w:sz w:val="22"/>
                <w:szCs w:val="22"/>
              </w:rPr>
              <w:t xml:space="preserve">pro řízení sekce </w:t>
            </w:r>
            <w:r w:rsidR="002D731B" w:rsidRPr="00DE3150">
              <w:rPr>
                <w:rFonts w:ascii="Arial" w:hAnsi="Arial" w:cs="Arial"/>
                <w:b/>
                <w:sz w:val="22"/>
                <w:szCs w:val="22"/>
              </w:rPr>
              <w:t xml:space="preserve">a ředitelů odborů, při jejich jmenování/potvrzeni ve funkci na webových stránkách MŠMT. </w:t>
            </w:r>
          </w:p>
          <w:p w14:paraId="189997D9" w14:textId="5FBB2488" w:rsidR="00186F53" w:rsidRPr="00DE3150" w:rsidRDefault="00186F53" w:rsidP="00186F5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DE3150">
              <w:rPr>
                <w:rFonts w:ascii="Arial" w:hAnsi="Arial" w:cs="Arial"/>
                <w:b/>
                <w:sz w:val="22"/>
                <w:szCs w:val="22"/>
              </w:rPr>
              <w:t xml:space="preserve">Odpovídá: </w:t>
            </w:r>
            <w:r w:rsidR="00DE3150">
              <w:rPr>
                <w:rFonts w:ascii="Arial" w:hAnsi="Arial" w:cs="Arial"/>
                <w:b/>
                <w:sz w:val="22"/>
                <w:szCs w:val="22"/>
              </w:rPr>
              <w:t>státní tajemník</w:t>
            </w:r>
          </w:p>
          <w:p w14:paraId="57631508" w14:textId="77777777" w:rsidR="00186F53" w:rsidRDefault="00186F53" w:rsidP="00186F5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DE3150">
              <w:rPr>
                <w:rFonts w:ascii="Arial" w:hAnsi="Arial" w:cs="Arial"/>
                <w:b/>
                <w:sz w:val="22"/>
                <w:szCs w:val="22"/>
              </w:rPr>
              <w:t>Termín plnění: průběžně</w:t>
            </w:r>
          </w:p>
          <w:p w14:paraId="4736DAE2" w14:textId="3CA38716" w:rsidR="00186F53" w:rsidRPr="00DB132D" w:rsidRDefault="00186F53" w:rsidP="00E22C9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B8B725B" w14:textId="0B009D36" w:rsidR="00835A63" w:rsidRDefault="00835A63" w:rsidP="007017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9BC662" w14:textId="77777777" w:rsidR="00835A63" w:rsidRDefault="00835A63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97079E2" w14:textId="77777777" w:rsidR="00F27535" w:rsidRPr="00DB132D" w:rsidRDefault="00F27535" w:rsidP="007017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363"/>
      </w:tblGrid>
      <w:tr w:rsidR="00F27535" w:rsidRPr="00DB132D" w14:paraId="4E1DD0BF" w14:textId="77777777" w:rsidTr="002D731B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bookmarkStart w:id="19" w:name="BOD3"/>
          <w:p w14:paraId="7FAEB777" w14:textId="77777777" w:rsidR="00F27535" w:rsidRPr="00DB132D" w:rsidRDefault="00F27535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1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20" w:author="Horník Jan" w:date="2013-06-28T12:00:00Z" w:original="3."/>
              </w:fldChar>
            </w:r>
            <w:bookmarkEnd w:id="19"/>
          </w:p>
        </w:tc>
        <w:tc>
          <w:tcPr>
            <w:tcW w:w="836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14916" w14:textId="77777777" w:rsidR="00F27535" w:rsidRPr="00DB132D" w:rsidRDefault="00F27535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Řízení korupčních rizik</w:t>
            </w:r>
            <w:r w:rsidR="00E574AF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 monitoring kontrol</w:t>
            </w:r>
          </w:p>
        </w:tc>
      </w:tr>
      <w:tr w:rsidR="00F27535" w:rsidRPr="00DB132D" w14:paraId="275A1BA9" w14:textId="77777777" w:rsidTr="002D731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DDFDAF" w14:textId="77777777" w:rsidR="00F27535" w:rsidRPr="00DB132D" w:rsidRDefault="00F27535" w:rsidP="00595F48">
            <w:pPr>
              <w:autoSpaceDE w:val="0"/>
              <w:autoSpaceDN w:val="0"/>
              <w:adjustRightInd w:val="0"/>
              <w:ind w:left="539" w:hanging="539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>Cíl:</w:t>
            </w: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  <w:r w:rsidR="00C71380" w:rsidRPr="00DB132D">
              <w:rPr>
                <w:rFonts w:ascii="Arial" w:hAnsi="Arial" w:cs="Arial"/>
                <w:b/>
                <w:i/>
                <w:sz w:val="22"/>
                <w:szCs w:val="22"/>
              </w:rPr>
              <w:t>Nastavit ú</w:t>
            </w:r>
            <w:r w:rsidR="00134202" w:rsidRPr="00DB132D">
              <w:rPr>
                <w:rFonts w:ascii="Arial" w:hAnsi="Arial" w:cs="Arial"/>
                <w:b/>
                <w:i/>
                <w:sz w:val="22"/>
                <w:szCs w:val="22"/>
              </w:rPr>
              <w:t>činné</w:t>
            </w: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kontrolní mecha</w:t>
            </w:r>
            <w:r w:rsidR="00BC5367" w:rsidRPr="00DB132D">
              <w:rPr>
                <w:rFonts w:ascii="Arial" w:hAnsi="Arial" w:cs="Arial"/>
                <w:b/>
                <w:i/>
                <w:sz w:val="22"/>
                <w:szCs w:val="22"/>
              </w:rPr>
              <w:t>nismy a </w:t>
            </w:r>
            <w:r w:rsidR="00C71380" w:rsidRPr="00DB132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zajistit </w:t>
            </w:r>
            <w:r w:rsidR="00134202" w:rsidRPr="00DB132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efektivní </w:t>
            </w:r>
            <w:r w:rsidR="00BC5367" w:rsidRPr="00DB132D">
              <w:rPr>
                <w:rFonts w:ascii="Arial" w:hAnsi="Arial" w:cs="Arial"/>
                <w:b/>
                <w:i/>
                <w:sz w:val="22"/>
                <w:szCs w:val="22"/>
              </w:rPr>
              <w:t>odhalov</w:t>
            </w:r>
            <w:r w:rsidR="00134202" w:rsidRPr="00DB132D">
              <w:rPr>
                <w:rFonts w:ascii="Arial" w:hAnsi="Arial" w:cs="Arial"/>
                <w:b/>
                <w:i/>
                <w:sz w:val="22"/>
                <w:szCs w:val="22"/>
              </w:rPr>
              <w:t>ání</w:t>
            </w:r>
            <w:r w:rsidR="00BC5367" w:rsidRPr="00DB132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korupční</w:t>
            </w:r>
            <w:r w:rsidR="00134202" w:rsidRPr="00DB132D">
              <w:rPr>
                <w:rFonts w:ascii="Arial" w:hAnsi="Arial" w:cs="Arial"/>
                <w:b/>
                <w:i/>
                <w:sz w:val="22"/>
                <w:szCs w:val="22"/>
              </w:rPr>
              <w:t>ho</w:t>
            </w:r>
            <w:r w:rsidR="00BC5367" w:rsidRPr="00DB132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jednání</w:t>
            </w:r>
            <w:r w:rsidR="0052544C" w:rsidRPr="00DB132D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</w:tc>
      </w:tr>
      <w:tr w:rsidR="00F27535" w:rsidRPr="00DB132D" w14:paraId="4ACE9E39" w14:textId="77777777" w:rsidTr="002D731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9E7A82" w14:textId="41943634" w:rsidR="00AA2F65" w:rsidRPr="00DB132D" w:rsidRDefault="00F27535" w:rsidP="00051D36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Aktivní řízení korupčních rizik napomáhá identifikovat oblasti se zvýšeným korupčním potenciálem a prověřovat a posilovat existenci a funkčnost kontrolních mechanismů v těchto oblastech.</w:t>
            </w:r>
          </w:p>
        </w:tc>
      </w:tr>
      <w:tr w:rsidR="004A0022" w:rsidRPr="00DB132D" w14:paraId="49A7771F" w14:textId="77777777" w:rsidTr="002D731B">
        <w:trPr>
          <w:trHeight w:hRule="exact" w:val="255"/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98D81B" w14:textId="77777777" w:rsidR="004A0022" w:rsidRPr="00DB132D" w:rsidRDefault="004A0022" w:rsidP="00595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535" w:rsidRPr="00DB132D" w14:paraId="4F0EAEAC" w14:textId="77777777" w:rsidTr="002D731B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91CF15" w14:textId="77777777" w:rsidR="00F27535" w:rsidRPr="00DB132D" w:rsidRDefault="00F27535" w:rsidP="00595F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21" w:author="Horník Jan" w:date="2013-06-28T12:00:00Z" w:original="3.1."/>
              </w:fldChar>
            </w:r>
          </w:p>
        </w:tc>
        <w:tc>
          <w:tcPr>
            <w:tcW w:w="8363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224E8" w14:textId="6B6D62B4" w:rsidR="00F27535" w:rsidRPr="00DB132D" w:rsidRDefault="00DF6BFC" w:rsidP="004842E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Hodnocení korupčních rizik</w:t>
            </w:r>
          </w:p>
        </w:tc>
      </w:tr>
      <w:tr w:rsidR="00F27535" w:rsidRPr="00DB132D" w14:paraId="7159433E" w14:textId="77777777" w:rsidTr="002D731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FE6E3" w14:textId="77777777" w:rsidR="00F27535" w:rsidRPr="00DB132D" w:rsidRDefault="00E07872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H</w:t>
            </w:r>
            <w:r w:rsidR="00812ADC" w:rsidRPr="00DB132D">
              <w:rPr>
                <w:rFonts w:ascii="Arial" w:hAnsi="Arial" w:cs="Arial"/>
                <w:sz w:val="22"/>
                <w:szCs w:val="22"/>
              </w:rPr>
              <w:t>od</w:t>
            </w:r>
            <w:r w:rsidR="00DF6BFC" w:rsidRPr="00DB132D">
              <w:rPr>
                <w:rFonts w:ascii="Arial" w:hAnsi="Arial" w:cs="Arial"/>
                <w:sz w:val="22"/>
                <w:szCs w:val="22"/>
              </w:rPr>
              <w:t>nocení korupčních rizik</w:t>
            </w:r>
            <w:r w:rsidRPr="00DB132D">
              <w:rPr>
                <w:rFonts w:ascii="Arial" w:hAnsi="Arial" w:cs="Arial"/>
                <w:sz w:val="22"/>
                <w:szCs w:val="22"/>
              </w:rPr>
              <w:t>,</w:t>
            </w:r>
            <w:r w:rsidR="00DF6BFC" w:rsidRPr="00DB13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1380" w:rsidRPr="00DB132D">
              <w:rPr>
                <w:rFonts w:ascii="Arial" w:hAnsi="Arial" w:cs="Arial"/>
                <w:sz w:val="22"/>
                <w:szCs w:val="22"/>
              </w:rPr>
              <w:t>prováděné</w:t>
            </w:r>
            <w:r w:rsidR="00DF6BFC" w:rsidRPr="00DB13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132D">
              <w:rPr>
                <w:rFonts w:ascii="Arial" w:hAnsi="Arial" w:cs="Arial"/>
                <w:sz w:val="22"/>
                <w:szCs w:val="22"/>
              </w:rPr>
              <w:t>pravidelně alespoň</w:t>
            </w:r>
            <w:r w:rsidR="00DF6BFC" w:rsidRPr="00DB132D">
              <w:rPr>
                <w:rFonts w:ascii="Arial" w:hAnsi="Arial" w:cs="Arial"/>
                <w:sz w:val="22"/>
                <w:szCs w:val="22"/>
              </w:rPr>
              <w:t xml:space="preserve"> jedenkrát ročně.</w:t>
            </w:r>
          </w:p>
        </w:tc>
      </w:tr>
      <w:tr w:rsidR="00F27535" w:rsidRPr="00DB132D" w14:paraId="566A360B" w14:textId="77777777" w:rsidTr="002D731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584E2" w14:textId="6192BC2C" w:rsidR="00DF6BFC" w:rsidRPr="001848CB" w:rsidRDefault="00051D36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1848CB">
              <w:rPr>
                <w:rFonts w:ascii="Arial" w:hAnsi="Arial" w:cs="Arial"/>
                <w:i/>
                <w:sz w:val="22"/>
                <w:szCs w:val="22"/>
              </w:rPr>
              <w:t>Na základě předem stanovené strategie řízení korupčních rizik dochází k h</w:t>
            </w:r>
            <w:r w:rsidR="00DF6BFC" w:rsidRPr="001848CB">
              <w:rPr>
                <w:rFonts w:ascii="Arial" w:hAnsi="Arial" w:cs="Arial"/>
                <w:i/>
                <w:sz w:val="22"/>
                <w:szCs w:val="22"/>
              </w:rPr>
              <w:t>odnocení korupčních rizik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 xml:space="preserve">, které </w:t>
            </w:r>
            <w:r w:rsidR="00DF6BFC" w:rsidRPr="001848CB">
              <w:rPr>
                <w:rFonts w:ascii="Arial" w:hAnsi="Arial" w:cs="Arial"/>
                <w:i/>
                <w:sz w:val="22"/>
                <w:szCs w:val="22"/>
              </w:rPr>
              <w:t>obsahuje:</w:t>
            </w:r>
          </w:p>
          <w:p w14:paraId="1F778B93" w14:textId="77777777" w:rsidR="00DF6BFC" w:rsidRPr="001848CB" w:rsidRDefault="00DF6BFC" w:rsidP="00595F48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i/>
                <w:sz w:val="22"/>
                <w:szCs w:val="22"/>
              </w:rPr>
            </w:pPr>
            <w:r w:rsidRPr="001848CB">
              <w:rPr>
                <w:rFonts w:ascii="Arial" w:hAnsi="Arial" w:cs="Arial"/>
                <w:i/>
                <w:sz w:val="22"/>
                <w:szCs w:val="22"/>
              </w:rPr>
              <w:t>identifikaci a hodnocení korupčních rizik ve všech činnostech rezortu,</w:t>
            </w:r>
          </w:p>
          <w:p w14:paraId="48324617" w14:textId="71C263C5" w:rsidR="00DF6BFC" w:rsidRPr="001848CB" w:rsidRDefault="004F5BEE" w:rsidP="00595F48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i/>
                <w:sz w:val="22"/>
                <w:szCs w:val="22"/>
              </w:rPr>
            </w:pPr>
            <w:r w:rsidRPr="001848CB">
              <w:rPr>
                <w:rFonts w:ascii="Arial" w:hAnsi="Arial" w:cs="Arial"/>
                <w:i/>
                <w:sz w:val="22"/>
                <w:szCs w:val="22"/>
              </w:rPr>
              <w:t>vytvoření mapy/</w:t>
            </w:r>
            <w:r w:rsidR="00DF6BFC" w:rsidRPr="001848CB">
              <w:rPr>
                <w:rFonts w:ascii="Arial" w:hAnsi="Arial" w:cs="Arial"/>
                <w:i/>
                <w:sz w:val="22"/>
                <w:szCs w:val="22"/>
              </w:rPr>
              <w:t xml:space="preserve">katalogu </w:t>
            </w:r>
            <w:r w:rsidR="00F9054A" w:rsidRPr="001848CB">
              <w:rPr>
                <w:rFonts w:ascii="Arial" w:hAnsi="Arial" w:cs="Arial"/>
                <w:i/>
                <w:sz w:val="22"/>
                <w:szCs w:val="22"/>
              </w:rPr>
              <w:t xml:space="preserve">korupčních </w:t>
            </w:r>
            <w:r w:rsidR="00DF6BFC" w:rsidRPr="001848CB">
              <w:rPr>
                <w:rFonts w:ascii="Arial" w:hAnsi="Arial" w:cs="Arial"/>
                <w:i/>
                <w:sz w:val="22"/>
                <w:szCs w:val="22"/>
              </w:rPr>
              <w:t>rizik,</w:t>
            </w:r>
          </w:p>
          <w:p w14:paraId="64B387B6" w14:textId="77777777" w:rsidR="00F27535" w:rsidRPr="00DB132D" w:rsidRDefault="00DF6BFC" w:rsidP="00595F48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i/>
                <w:sz w:val="22"/>
                <w:szCs w:val="22"/>
              </w:rPr>
            </w:pPr>
            <w:r w:rsidRPr="001848CB">
              <w:rPr>
                <w:rFonts w:ascii="Arial" w:hAnsi="Arial" w:cs="Arial"/>
                <w:i/>
                <w:sz w:val="22"/>
                <w:szCs w:val="22"/>
              </w:rPr>
              <w:t>přijetí opatření ke snížení pravděpodobnosti či dopadu korupčních rizik.</w:t>
            </w:r>
          </w:p>
        </w:tc>
      </w:tr>
      <w:tr w:rsidR="00654112" w:rsidRPr="00DB132D" w14:paraId="0DF6E958" w14:textId="77777777" w:rsidTr="002D731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27AF5" w14:textId="54B6CAD4" w:rsidR="00654112" w:rsidRDefault="00654112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Úkol: </w:t>
            </w:r>
            <w:r w:rsidR="00C22CEF">
              <w:rPr>
                <w:rFonts w:ascii="Arial" w:hAnsi="Arial" w:cs="Arial"/>
                <w:b/>
                <w:sz w:val="22"/>
                <w:szCs w:val="22"/>
              </w:rPr>
              <w:t>Zajistit aktualizaci</w:t>
            </w:r>
            <w:r w:rsidR="00B20357">
              <w:rPr>
                <w:rFonts w:ascii="Arial" w:hAnsi="Arial" w:cs="Arial"/>
                <w:b/>
                <w:sz w:val="22"/>
                <w:szCs w:val="22"/>
              </w:rPr>
              <w:t xml:space="preserve"> mapy/</w:t>
            </w:r>
            <w:r w:rsidR="00C22CEF">
              <w:rPr>
                <w:rFonts w:ascii="Arial" w:hAnsi="Arial" w:cs="Arial"/>
                <w:b/>
                <w:sz w:val="22"/>
                <w:szCs w:val="22"/>
              </w:rPr>
              <w:t xml:space="preserve">katalogu korupčních rizik MŠMT.  </w:t>
            </w:r>
          </w:p>
          <w:p w14:paraId="6113E65D" w14:textId="29754D26" w:rsidR="00654112" w:rsidRDefault="00654112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Odpovídá: </w:t>
            </w:r>
            <w:r w:rsidR="00B27420">
              <w:rPr>
                <w:rFonts w:ascii="Arial" w:hAnsi="Arial" w:cs="Arial"/>
                <w:b/>
                <w:sz w:val="22"/>
                <w:szCs w:val="22"/>
              </w:rPr>
              <w:t>VO</w:t>
            </w:r>
            <w:r w:rsidR="00A63E17">
              <w:rPr>
                <w:rFonts w:ascii="Arial" w:hAnsi="Arial" w:cs="Arial"/>
                <w:b/>
                <w:sz w:val="22"/>
                <w:szCs w:val="22"/>
              </w:rPr>
              <w:t xml:space="preserve"> M1</w:t>
            </w:r>
            <w:r w:rsidR="00B274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8408338" w14:textId="5CA7D521" w:rsidR="002D731B" w:rsidRPr="00DB132D" w:rsidRDefault="002D731B" w:rsidP="004842E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Termín plnění: každoročně k 31. 11.  </w:t>
            </w:r>
          </w:p>
        </w:tc>
      </w:tr>
      <w:tr w:rsidR="00DF6BFC" w:rsidRPr="00DB132D" w14:paraId="0A667655" w14:textId="77777777" w:rsidTr="002D731B">
        <w:trPr>
          <w:trHeight w:hRule="exact" w:val="113"/>
          <w:jc w:val="center"/>
        </w:trPr>
        <w:tc>
          <w:tcPr>
            <w:tcW w:w="90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DCD865" w14:textId="77777777" w:rsidR="00DF6BFC" w:rsidRPr="00DB132D" w:rsidRDefault="00DF6BFC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535" w:rsidRPr="00DB132D" w14:paraId="5077471F" w14:textId="77777777" w:rsidTr="002D731B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653FA" w14:textId="77777777" w:rsidR="00F27535" w:rsidRPr="00DB132D" w:rsidRDefault="00F27535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22" w:author="Horník Jan" w:date="2013-06-28T12:00:00Z" w:original="3.2."/>
              </w:fldChar>
            </w:r>
          </w:p>
        </w:tc>
        <w:tc>
          <w:tcPr>
            <w:tcW w:w="8363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06109" w14:textId="77777777" w:rsidR="00F27535" w:rsidRPr="00DB132D" w:rsidRDefault="0027766C" w:rsidP="00595F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Monitoring kontrolních mechanismů </w:t>
            </w:r>
            <w:r w:rsidR="00C140D5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odhalujících</w:t>
            </w: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korupci</w:t>
            </w:r>
          </w:p>
        </w:tc>
      </w:tr>
      <w:tr w:rsidR="00F27535" w:rsidRPr="00DB132D" w14:paraId="41CFFCAA" w14:textId="77777777" w:rsidTr="002D731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05A97" w14:textId="77777777" w:rsidR="00F27535" w:rsidRPr="00DB132D" w:rsidRDefault="0027766C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 xml:space="preserve">Pravidelné testování mechanismů </w:t>
            </w:r>
            <w:r w:rsidR="00C140D5" w:rsidRPr="00DB132D">
              <w:rPr>
                <w:rFonts w:ascii="Arial" w:hAnsi="Arial" w:cs="Arial"/>
                <w:sz w:val="22"/>
                <w:szCs w:val="22"/>
              </w:rPr>
              <w:t>používaných k identifikaci a odhalování korupčních rizik</w:t>
            </w:r>
            <w:r w:rsidRPr="00DB13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27535" w:rsidRPr="00DB132D" w14:paraId="67C5EAB7" w14:textId="77777777" w:rsidTr="002D731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CED3B" w14:textId="77777777" w:rsidR="00F27535" w:rsidRPr="00DB132D" w:rsidRDefault="00666099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Pravidelné testování kontrolních mechanismů v oblastech </w:t>
            </w:r>
            <w:r w:rsidR="00C140D5" w:rsidRPr="00DB132D">
              <w:rPr>
                <w:rFonts w:ascii="Arial" w:hAnsi="Arial" w:cs="Arial"/>
                <w:i/>
                <w:sz w:val="22"/>
                <w:szCs w:val="22"/>
              </w:rPr>
              <w:t xml:space="preserve">korupčního rizika 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>z hlediska toho, jak jsou účinné pro zabránění či odhalení korupčního</w:t>
            </w:r>
            <w:r w:rsidR="00C140D5" w:rsidRPr="00DB132D">
              <w:rPr>
                <w:rFonts w:ascii="Arial" w:hAnsi="Arial" w:cs="Arial"/>
                <w:i/>
                <w:sz w:val="22"/>
                <w:szCs w:val="22"/>
              </w:rPr>
              <w:t xml:space="preserve"> jednání;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 přijímání opatření posilujících </w:t>
            </w:r>
            <w:r w:rsidR="00C140D5" w:rsidRPr="00DB132D">
              <w:rPr>
                <w:rFonts w:ascii="Arial" w:hAnsi="Arial" w:cs="Arial"/>
                <w:i/>
                <w:sz w:val="22"/>
                <w:szCs w:val="22"/>
              </w:rPr>
              <w:t>tyto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 mechanismy.</w:t>
            </w:r>
          </w:p>
        </w:tc>
      </w:tr>
      <w:tr w:rsidR="00654112" w:rsidRPr="00DB132D" w14:paraId="205CF376" w14:textId="77777777" w:rsidTr="002D731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4405C" w14:textId="141D792F" w:rsidR="00654112" w:rsidRDefault="00654112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Úkol: </w:t>
            </w:r>
            <w:r w:rsidR="002D731B" w:rsidRPr="00DE3150">
              <w:rPr>
                <w:rFonts w:ascii="Arial" w:hAnsi="Arial" w:cs="Arial"/>
                <w:b/>
                <w:sz w:val="22"/>
                <w:szCs w:val="22"/>
              </w:rPr>
              <w:t>Prověřit účinnost</w:t>
            </w:r>
            <w:r w:rsidR="002D73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0357">
              <w:rPr>
                <w:rFonts w:ascii="Arial" w:hAnsi="Arial" w:cs="Arial"/>
                <w:b/>
                <w:sz w:val="22"/>
                <w:szCs w:val="22"/>
              </w:rPr>
              <w:t xml:space="preserve">opatření přijatých k významným korupčním rizikům. </w:t>
            </w:r>
          </w:p>
          <w:p w14:paraId="3105EA9B" w14:textId="55CB44F3" w:rsidR="00654112" w:rsidRDefault="00654112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Odpovídá: </w:t>
            </w:r>
            <w:r w:rsidR="00DE3150">
              <w:rPr>
                <w:rFonts w:ascii="Arial" w:hAnsi="Arial" w:cs="Arial"/>
                <w:b/>
                <w:sz w:val="22"/>
                <w:szCs w:val="22"/>
              </w:rPr>
              <w:t>prošetřovatel</w:t>
            </w:r>
            <w:r w:rsidR="00B274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0357">
              <w:rPr>
                <w:rFonts w:ascii="Arial" w:hAnsi="Arial" w:cs="Arial"/>
                <w:b/>
                <w:sz w:val="22"/>
                <w:szCs w:val="22"/>
              </w:rPr>
              <w:t>ve spolupráci s VO M1</w:t>
            </w:r>
            <w:r w:rsidR="00A63E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7D42359" w14:textId="1A9E67F2" w:rsidR="00654112" w:rsidRPr="00DB132D" w:rsidRDefault="002D731B" w:rsidP="002D731B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Termín plnění: každoročně k 31. 11.  </w:t>
            </w:r>
          </w:p>
        </w:tc>
      </w:tr>
      <w:tr w:rsidR="0027766C" w:rsidRPr="00DB132D" w14:paraId="1EFCE2A0" w14:textId="77777777" w:rsidTr="002D731B">
        <w:trPr>
          <w:trHeight w:hRule="exact" w:val="113"/>
          <w:jc w:val="center"/>
        </w:trPr>
        <w:tc>
          <w:tcPr>
            <w:tcW w:w="90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686C3" w14:textId="77777777" w:rsidR="0027766C" w:rsidRPr="00DB132D" w:rsidRDefault="0027766C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535" w:rsidRPr="00DB132D" w14:paraId="3518DADA" w14:textId="77777777" w:rsidTr="002D731B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8ECA4C" w14:textId="77777777" w:rsidR="00F27535" w:rsidRPr="00DB132D" w:rsidRDefault="00F27535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23" w:author="Horník Jan" w:date="2013-06-28T12:00:00Z" w:original="3.3."/>
              </w:fldChar>
            </w:r>
          </w:p>
        </w:tc>
        <w:tc>
          <w:tcPr>
            <w:tcW w:w="8363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3ABF7" w14:textId="77777777" w:rsidR="00F27535" w:rsidRPr="00DB132D" w:rsidRDefault="004319BD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Prošetřování</w:t>
            </w:r>
            <w:r w:rsidR="00AC605C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rizikových oblastí</w:t>
            </w:r>
          </w:p>
        </w:tc>
      </w:tr>
      <w:tr w:rsidR="00F27535" w:rsidRPr="00DB132D" w14:paraId="6C1282B5" w14:textId="77777777" w:rsidTr="002D731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0B8E9" w14:textId="77777777" w:rsidR="00F27535" w:rsidRPr="00DB132D" w:rsidRDefault="00AC605C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Pravideln</w:t>
            </w:r>
            <w:r w:rsidR="004319BD" w:rsidRPr="00DB132D">
              <w:rPr>
                <w:rFonts w:ascii="Arial" w:hAnsi="Arial" w:cs="Arial"/>
                <w:sz w:val="22"/>
                <w:szCs w:val="22"/>
              </w:rPr>
              <w:t>á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9BD" w:rsidRPr="00DB132D">
              <w:rPr>
                <w:rFonts w:ascii="Arial" w:hAnsi="Arial" w:cs="Arial"/>
                <w:sz w:val="22"/>
                <w:szCs w:val="22"/>
              </w:rPr>
              <w:t>prošetřování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 oblastí</w:t>
            </w:r>
            <w:r w:rsidR="004319BD" w:rsidRPr="00DB132D">
              <w:rPr>
                <w:rFonts w:ascii="Arial" w:hAnsi="Arial" w:cs="Arial"/>
                <w:sz w:val="22"/>
                <w:szCs w:val="22"/>
              </w:rPr>
              <w:t>,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9BD" w:rsidRPr="00DB132D">
              <w:rPr>
                <w:rFonts w:ascii="Arial" w:hAnsi="Arial" w:cs="Arial"/>
                <w:sz w:val="22"/>
                <w:szCs w:val="22"/>
              </w:rPr>
              <w:t>v nichž je riziko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 korupce</w:t>
            </w:r>
            <w:r w:rsidR="004319BD" w:rsidRPr="00DB132D">
              <w:rPr>
                <w:rFonts w:ascii="Arial" w:hAnsi="Arial" w:cs="Arial"/>
                <w:sz w:val="22"/>
                <w:szCs w:val="22"/>
              </w:rPr>
              <w:t xml:space="preserve"> hodnoceno jako významné</w:t>
            </w:r>
            <w:r w:rsidRPr="00DB132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AC605C" w:rsidRPr="00DB132D" w14:paraId="6BDEABFE" w14:textId="77777777" w:rsidTr="002D731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D3F36" w14:textId="77777777" w:rsidR="00AC605C" w:rsidRPr="00DB132D" w:rsidRDefault="00AC605C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i/>
                <w:sz w:val="22"/>
                <w:szCs w:val="22"/>
              </w:rPr>
              <w:t>Pro</w:t>
            </w:r>
            <w:r w:rsidR="004319BD" w:rsidRPr="00DB132D">
              <w:rPr>
                <w:rFonts w:ascii="Arial" w:hAnsi="Arial" w:cs="Arial"/>
                <w:i/>
                <w:sz w:val="22"/>
                <w:szCs w:val="22"/>
              </w:rPr>
              <w:t>šetřování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 se provádí s cílem </w:t>
            </w:r>
            <w:r w:rsidR="00666099" w:rsidRPr="00DB132D">
              <w:rPr>
                <w:rFonts w:ascii="Arial" w:hAnsi="Arial" w:cs="Arial"/>
                <w:i/>
                <w:sz w:val="22"/>
                <w:szCs w:val="22"/>
              </w:rPr>
              <w:t>identifikovat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 a </w:t>
            </w:r>
            <w:r w:rsidR="004319BD" w:rsidRPr="00DB132D">
              <w:rPr>
                <w:rFonts w:ascii="Arial" w:hAnsi="Arial" w:cs="Arial"/>
                <w:i/>
                <w:sz w:val="22"/>
                <w:szCs w:val="22"/>
              </w:rPr>
              <w:t>vyhodnotit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 skutečnosti nasvědčující výskytu korupčního jednání.</w:t>
            </w:r>
          </w:p>
        </w:tc>
      </w:tr>
      <w:tr w:rsidR="00654112" w:rsidRPr="00DB132D" w14:paraId="44642ADD" w14:textId="77777777" w:rsidTr="002D731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0DB15E" w14:textId="41EE1C83" w:rsidR="00654112" w:rsidRDefault="00654112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Úkol: </w:t>
            </w:r>
            <w:r w:rsidR="00B20357">
              <w:rPr>
                <w:rFonts w:ascii="Arial" w:hAnsi="Arial" w:cs="Arial"/>
                <w:b/>
                <w:sz w:val="22"/>
                <w:szCs w:val="22"/>
              </w:rPr>
              <w:t xml:space="preserve">Zajistit prověření korupčních rizik ve všech oblastech a činnostech, které budou předmětem interních auditů.   </w:t>
            </w:r>
          </w:p>
          <w:p w14:paraId="2D5A31C0" w14:textId="3B55F26D" w:rsidR="00654112" w:rsidRDefault="00654112" w:rsidP="00654112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Odpovídá: </w:t>
            </w:r>
            <w:r w:rsidR="00B20357">
              <w:rPr>
                <w:rFonts w:ascii="Arial" w:hAnsi="Arial" w:cs="Arial"/>
                <w:b/>
                <w:sz w:val="22"/>
                <w:szCs w:val="22"/>
              </w:rPr>
              <w:t>VO M1</w:t>
            </w:r>
          </w:p>
          <w:p w14:paraId="60053F8F" w14:textId="7DBF4F3A" w:rsidR="00654112" w:rsidRPr="00DB132D" w:rsidRDefault="002D731B" w:rsidP="002D731B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Termín plnění: každoročně k 31. 12.  </w:t>
            </w:r>
          </w:p>
        </w:tc>
      </w:tr>
    </w:tbl>
    <w:p w14:paraId="7B215DBD" w14:textId="46A596CB" w:rsidR="004842E3" w:rsidRDefault="004842E3" w:rsidP="007017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96D771" w14:textId="77777777" w:rsidR="004842E3" w:rsidRDefault="004842E3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20576A7" w14:textId="77777777" w:rsidR="00507F31" w:rsidRPr="00DB132D" w:rsidRDefault="00507F31" w:rsidP="007017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363"/>
      </w:tblGrid>
      <w:tr w:rsidR="00C62B2F" w:rsidRPr="00DB132D" w14:paraId="2A037958" w14:textId="77777777" w:rsidTr="00D1409B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bookmarkStart w:id="24" w:name="BOD4"/>
          <w:p w14:paraId="4A161040" w14:textId="77777777" w:rsidR="00C62B2F" w:rsidRPr="00DB132D" w:rsidRDefault="00C62B2F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1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25" w:author="Horník Jan" w:date="2013-06-28T12:00:00Z" w:original="4."/>
              </w:fldChar>
            </w:r>
            <w:bookmarkEnd w:id="24"/>
          </w:p>
        </w:tc>
        <w:tc>
          <w:tcPr>
            <w:tcW w:w="836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7A3301" w14:textId="77777777" w:rsidR="00C62B2F" w:rsidRPr="00DB132D" w:rsidRDefault="007A4C00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Postupy při podezření na korupci</w:t>
            </w:r>
          </w:p>
        </w:tc>
      </w:tr>
      <w:tr w:rsidR="00C62B2F" w:rsidRPr="00DB132D" w14:paraId="205492EE" w14:textId="77777777" w:rsidTr="00D1409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2DF7C" w14:textId="77777777" w:rsidR="00C62B2F" w:rsidRPr="00DB132D" w:rsidRDefault="00C62B2F" w:rsidP="00595F48">
            <w:pPr>
              <w:autoSpaceDE w:val="0"/>
              <w:autoSpaceDN w:val="0"/>
              <w:adjustRightInd w:val="0"/>
              <w:ind w:left="539" w:hanging="539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>Cíl:</w:t>
            </w: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ab/>
            </w:r>
            <w:r w:rsidR="007A4C00" w:rsidRPr="00DB132D">
              <w:rPr>
                <w:rFonts w:ascii="Arial" w:hAnsi="Arial" w:cs="Arial"/>
                <w:b/>
                <w:i/>
                <w:sz w:val="22"/>
                <w:szCs w:val="22"/>
              </w:rPr>
              <w:t>Minimalizovat ztráty</w:t>
            </w:r>
            <w:r w:rsidR="0097525A" w:rsidRPr="00DB132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způsobené korupčním jednáním a </w:t>
            </w:r>
            <w:r w:rsidR="007A4C00" w:rsidRPr="00DB132D">
              <w:rPr>
                <w:rFonts w:ascii="Arial" w:hAnsi="Arial" w:cs="Arial"/>
                <w:b/>
                <w:i/>
                <w:sz w:val="22"/>
                <w:szCs w:val="22"/>
              </w:rPr>
              <w:t>zabránit opakování obdobného korupčního scénáře.</w:t>
            </w:r>
          </w:p>
        </w:tc>
      </w:tr>
      <w:tr w:rsidR="00C62B2F" w:rsidRPr="00DB132D" w14:paraId="6EDFF8E2" w14:textId="77777777" w:rsidTr="00D1409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58A1A" w14:textId="5012A362" w:rsidR="00C62B2F" w:rsidRPr="00DB132D" w:rsidRDefault="00812ADC" w:rsidP="004F5BE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Bezodkladná reakce na podezření na korupční jednání zvyšuje pravděpodobnost jeho úspěšného prověření. Důkladná analýza příčin vzniku korupčního jednání je pak zásadní pro</w:t>
            </w:r>
            <w:r w:rsidR="004F5BEE" w:rsidRPr="00DB132D">
              <w:rPr>
                <w:rFonts w:ascii="Arial" w:hAnsi="Arial" w:cs="Arial"/>
                <w:sz w:val="22"/>
                <w:szCs w:val="22"/>
              </w:rPr>
              <w:t> </w:t>
            </w:r>
            <w:r w:rsidRPr="00DB132D">
              <w:rPr>
                <w:rFonts w:ascii="Arial" w:hAnsi="Arial" w:cs="Arial"/>
                <w:sz w:val="22"/>
                <w:szCs w:val="22"/>
              </w:rPr>
              <w:t>posílení preventivních mechanismů, které sníží riziko opakovaného výskytu korupce.</w:t>
            </w:r>
          </w:p>
        </w:tc>
      </w:tr>
      <w:tr w:rsidR="00C62B2F" w:rsidRPr="00DB132D" w14:paraId="600A9FD3" w14:textId="77777777" w:rsidTr="00D1409B">
        <w:trPr>
          <w:trHeight w:hRule="exact" w:val="255"/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BF675" w14:textId="77777777" w:rsidR="00C62B2F" w:rsidRPr="00DB132D" w:rsidRDefault="00C62B2F" w:rsidP="00595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B2F" w:rsidRPr="00DB132D" w14:paraId="2DCFC552" w14:textId="77777777" w:rsidTr="00D1409B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239C5" w14:textId="77777777" w:rsidR="00C62B2F" w:rsidRPr="00DB132D" w:rsidRDefault="00C62B2F" w:rsidP="00595F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26" w:author="Horník Jan" w:date="2013-06-28T12:00:00Z" w:original="4.1."/>
              </w:fldChar>
            </w:r>
          </w:p>
        </w:tc>
        <w:tc>
          <w:tcPr>
            <w:tcW w:w="8363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F056B" w14:textId="77777777" w:rsidR="00C62B2F" w:rsidRPr="00DB132D" w:rsidRDefault="00812ADC" w:rsidP="00595F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Postupy p</w:t>
            </w:r>
            <w:r w:rsidR="00F82226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ři</w:t>
            </w: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</w:t>
            </w:r>
            <w:r w:rsidR="00F82226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šetřo</w:t>
            </w: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vání podezření na korupci</w:t>
            </w:r>
          </w:p>
        </w:tc>
      </w:tr>
      <w:tr w:rsidR="00C62B2F" w:rsidRPr="00DB132D" w14:paraId="0308F8D3" w14:textId="77777777" w:rsidTr="00D1409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1A08D" w14:textId="77777777" w:rsidR="00EA2CE7" w:rsidRPr="00DB132D" w:rsidRDefault="00812ADC" w:rsidP="005F3A9C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 xml:space="preserve">Nastavení postupů vedoucích k bezodkladnému </w:t>
            </w:r>
            <w:r w:rsidR="009C659F" w:rsidRPr="00DB132D">
              <w:rPr>
                <w:rFonts w:ascii="Arial" w:hAnsi="Arial" w:cs="Arial"/>
                <w:sz w:val="22"/>
                <w:szCs w:val="22"/>
              </w:rPr>
              <w:t xml:space="preserve">internímu </w:t>
            </w:r>
            <w:r w:rsidR="00F82226" w:rsidRPr="00DB132D">
              <w:rPr>
                <w:rFonts w:ascii="Arial" w:hAnsi="Arial" w:cs="Arial"/>
                <w:sz w:val="22"/>
                <w:szCs w:val="22"/>
              </w:rPr>
              <w:t>prošetřová</w:t>
            </w:r>
            <w:r w:rsidRPr="00DB132D">
              <w:rPr>
                <w:rFonts w:ascii="Arial" w:hAnsi="Arial" w:cs="Arial"/>
                <w:sz w:val="22"/>
                <w:szCs w:val="22"/>
              </w:rPr>
              <w:t>ní podezření na korupci a k minimalizaci vzniklé škody.</w:t>
            </w:r>
          </w:p>
        </w:tc>
      </w:tr>
      <w:tr w:rsidR="009C659F" w:rsidRPr="00DB132D" w14:paraId="16329469" w14:textId="77777777" w:rsidTr="00D1409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E6197" w14:textId="36E2FBBD" w:rsidR="009C659F" w:rsidRPr="001848CB" w:rsidRDefault="004F5BEE" w:rsidP="00051D36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848CB">
              <w:rPr>
                <w:rFonts w:ascii="Arial" w:hAnsi="Arial" w:cs="Arial"/>
                <w:i/>
                <w:sz w:val="22"/>
                <w:szCs w:val="22"/>
              </w:rPr>
              <w:t>Služební úřad</w:t>
            </w:r>
            <w:r w:rsidR="00051D36" w:rsidRPr="001848CB"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="009C659F" w:rsidRPr="001848CB">
              <w:rPr>
                <w:rFonts w:ascii="Arial" w:hAnsi="Arial" w:cs="Arial"/>
                <w:i/>
                <w:sz w:val="22"/>
                <w:szCs w:val="22"/>
              </w:rPr>
              <w:t xml:space="preserve">Organizace musí nejprve </w:t>
            </w:r>
            <w:r w:rsidRPr="001848CB">
              <w:rPr>
                <w:rFonts w:ascii="Arial" w:hAnsi="Arial" w:cs="Arial"/>
                <w:i/>
                <w:sz w:val="22"/>
                <w:szCs w:val="22"/>
              </w:rPr>
              <w:t>sám</w:t>
            </w:r>
            <w:r w:rsidR="00051D36" w:rsidRPr="001848CB"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="009C659F" w:rsidRPr="001848CB">
              <w:rPr>
                <w:rFonts w:ascii="Arial" w:hAnsi="Arial" w:cs="Arial"/>
                <w:i/>
                <w:sz w:val="22"/>
                <w:szCs w:val="22"/>
              </w:rPr>
              <w:t>sama bezodkladně prošetřit re</w:t>
            </w:r>
            <w:r w:rsidR="0052544C" w:rsidRPr="001848CB">
              <w:rPr>
                <w:rFonts w:ascii="Arial" w:hAnsi="Arial" w:cs="Arial"/>
                <w:i/>
                <w:sz w:val="22"/>
                <w:szCs w:val="22"/>
              </w:rPr>
              <w:t>levanci oznámeného podezření na </w:t>
            </w:r>
            <w:r w:rsidR="009C659F" w:rsidRPr="001848CB">
              <w:rPr>
                <w:rFonts w:ascii="Arial" w:hAnsi="Arial" w:cs="Arial"/>
                <w:i/>
                <w:sz w:val="22"/>
                <w:szCs w:val="22"/>
              </w:rPr>
              <w:t>korupci.</w:t>
            </w:r>
            <w:r w:rsidR="00627437" w:rsidRPr="001848CB">
              <w:rPr>
                <w:rFonts w:ascii="Arial" w:hAnsi="Arial" w:cs="Arial"/>
                <w:i/>
                <w:sz w:val="22"/>
                <w:szCs w:val="22"/>
              </w:rPr>
              <w:t xml:space="preserve"> Součástí postupu je dále důkladná analýza příčin vzniku korupce a ověření rozsahu korupčního jednání.</w:t>
            </w:r>
          </w:p>
        </w:tc>
      </w:tr>
      <w:tr w:rsidR="00654112" w:rsidRPr="00DB132D" w14:paraId="696E92C5" w14:textId="77777777" w:rsidTr="00D1409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BFB359" w14:textId="77777777" w:rsidR="00D1409B" w:rsidRDefault="00D1409B" w:rsidP="00D1409B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Úkol: Zajistit zpracování návrhu pro vydání služebního předpisu, kterým bude nastaven důvěryhodný systém pro oznamování podezření na korupci zaměstnanci MŠMT i třetími stranami. </w:t>
            </w:r>
          </w:p>
          <w:p w14:paraId="58505166" w14:textId="77777777" w:rsidR="00D1409B" w:rsidRDefault="00D1409B" w:rsidP="00D1409B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Odpovídá: VO M1</w:t>
            </w:r>
          </w:p>
          <w:p w14:paraId="6A661633" w14:textId="1EB1DA73" w:rsidR="00027B3C" w:rsidRPr="00DB132D" w:rsidRDefault="00D1409B" w:rsidP="00835A6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30. 6. 2016</w:t>
            </w:r>
          </w:p>
        </w:tc>
      </w:tr>
      <w:tr w:rsidR="00C62B2F" w:rsidRPr="00DB132D" w14:paraId="26DC17B9" w14:textId="77777777" w:rsidTr="00D1409B">
        <w:trPr>
          <w:trHeight w:hRule="exact" w:val="113"/>
          <w:jc w:val="center"/>
        </w:trPr>
        <w:tc>
          <w:tcPr>
            <w:tcW w:w="90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4DDC1" w14:textId="77777777" w:rsidR="00C62B2F" w:rsidRPr="00DB132D" w:rsidRDefault="00C62B2F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B2F" w:rsidRPr="00DB132D" w14:paraId="4924CE17" w14:textId="77777777" w:rsidTr="00D1409B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86C92E" w14:textId="77777777" w:rsidR="00C62B2F" w:rsidRPr="00DB132D" w:rsidRDefault="00C62B2F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27" w:author="Horník Jan" w:date="2013-06-28T12:00:00Z" w:original="4.2."/>
              </w:fldChar>
            </w:r>
          </w:p>
        </w:tc>
        <w:tc>
          <w:tcPr>
            <w:tcW w:w="8363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0D3A9" w14:textId="77777777" w:rsidR="00C62B2F" w:rsidRPr="00DB132D" w:rsidRDefault="009C4592" w:rsidP="00595F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Následná </w:t>
            </w:r>
            <w:r w:rsidR="0097525A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opatření</w:t>
            </w:r>
          </w:p>
        </w:tc>
      </w:tr>
      <w:tr w:rsidR="00C62B2F" w:rsidRPr="00DB132D" w14:paraId="26A590F3" w14:textId="77777777" w:rsidTr="00D1409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31E13" w14:textId="77777777" w:rsidR="00C62B2F" w:rsidRPr="00DB132D" w:rsidRDefault="0097525A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Implementace opatření</w:t>
            </w:r>
            <w:r w:rsidR="009C659F" w:rsidRPr="00DB132D">
              <w:rPr>
                <w:rFonts w:ascii="Arial" w:hAnsi="Arial" w:cs="Arial"/>
                <w:sz w:val="22"/>
                <w:szCs w:val="22"/>
              </w:rPr>
              <w:t xml:space="preserve">, která </w:t>
            </w:r>
            <w:r w:rsidRPr="00DB132D">
              <w:rPr>
                <w:rFonts w:ascii="Arial" w:hAnsi="Arial" w:cs="Arial"/>
                <w:sz w:val="22"/>
                <w:szCs w:val="22"/>
              </w:rPr>
              <w:t>omezí opakování korupčního jednání či zaji</w:t>
            </w:r>
            <w:r w:rsidR="00C71380" w:rsidRPr="00DB132D">
              <w:rPr>
                <w:rFonts w:ascii="Arial" w:hAnsi="Arial" w:cs="Arial"/>
                <w:sz w:val="22"/>
                <w:szCs w:val="22"/>
              </w:rPr>
              <w:t>st</w:t>
            </w:r>
            <w:r w:rsidRPr="00DB132D">
              <w:rPr>
                <w:rFonts w:ascii="Arial" w:hAnsi="Arial" w:cs="Arial"/>
                <w:sz w:val="22"/>
                <w:szCs w:val="22"/>
              </w:rPr>
              <w:t>í jeho včasné odhalení v</w:t>
            </w:r>
            <w:r w:rsidR="009C659F" w:rsidRPr="00DB132D">
              <w:rPr>
                <w:rFonts w:ascii="Arial" w:hAnsi="Arial" w:cs="Arial"/>
                <w:sz w:val="22"/>
                <w:szCs w:val="22"/>
              </w:rPr>
              <w:t> </w:t>
            </w:r>
            <w:r w:rsidRPr="00DB132D">
              <w:rPr>
                <w:rFonts w:ascii="Arial" w:hAnsi="Arial" w:cs="Arial"/>
                <w:sz w:val="22"/>
                <w:szCs w:val="22"/>
              </w:rPr>
              <w:t>budoucnu.</w:t>
            </w:r>
          </w:p>
        </w:tc>
      </w:tr>
      <w:tr w:rsidR="00C62B2F" w:rsidRPr="00DB132D" w14:paraId="4064229C" w14:textId="77777777" w:rsidTr="00D1409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B69025" w14:textId="77777777" w:rsidR="00E335B6" w:rsidRPr="00DB132D" w:rsidRDefault="00E335B6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i/>
                <w:sz w:val="22"/>
                <w:szCs w:val="22"/>
              </w:rPr>
              <w:t>Nápravná opatření se uskutečňují v podstatě ve třech rovinách:</w:t>
            </w:r>
          </w:p>
          <w:p w14:paraId="4EC4BB6D" w14:textId="77777777" w:rsidR="00E335B6" w:rsidRPr="00DB132D" w:rsidRDefault="00E335B6" w:rsidP="00595F48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úprava </w:t>
            </w:r>
            <w:r w:rsidR="006B32AC" w:rsidRPr="00DB132D">
              <w:rPr>
                <w:rFonts w:ascii="Arial" w:hAnsi="Arial" w:cs="Arial"/>
                <w:i/>
                <w:sz w:val="22"/>
                <w:szCs w:val="22"/>
              </w:rPr>
              <w:t>vnitřní</w:t>
            </w:r>
            <w:r w:rsidR="00E21039" w:rsidRPr="00DB132D">
              <w:rPr>
                <w:rFonts w:ascii="Arial" w:hAnsi="Arial" w:cs="Arial"/>
                <w:i/>
                <w:sz w:val="22"/>
                <w:szCs w:val="22"/>
              </w:rPr>
              <w:t>ch</w:t>
            </w:r>
            <w:r w:rsidR="006B32AC" w:rsidRPr="00DB132D">
              <w:rPr>
                <w:rFonts w:ascii="Arial" w:hAnsi="Arial" w:cs="Arial"/>
                <w:i/>
                <w:sz w:val="22"/>
                <w:szCs w:val="22"/>
              </w:rPr>
              <w:t xml:space="preserve"> procesů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>,</w:t>
            </w:r>
          </w:p>
          <w:p w14:paraId="6C571239" w14:textId="77777777" w:rsidR="00E335B6" w:rsidRPr="00DB132D" w:rsidRDefault="00E335B6" w:rsidP="00595F48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i/>
                <w:sz w:val="22"/>
                <w:szCs w:val="22"/>
              </w:rPr>
              <w:t>disciplinární opatření,</w:t>
            </w:r>
          </w:p>
          <w:p w14:paraId="6362F570" w14:textId="77777777" w:rsidR="00E335B6" w:rsidRPr="00DB132D" w:rsidRDefault="00E335B6" w:rsidP="00595F48">
            <w:pPr>
              <w:numPr>
                <w:ilvl w:val="0"/>
                <w:numId w:val="5"/>
              </w:numPr>
              <w:tabs>
                <w:tab w:val="clear" w:pos="76"/>
              </w:tabs>
              <w:autoSpaceDE w:val="0"/>
              <w:autoSpaceDN w:val="0"/>
              <w:adjustRightInd w:val="0"/>
              <w:spacing w:line="240" w:lineRule="atLeast"/>
              <w:ind w:left="181" w:hanging="181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i/>
                <w:sz w:val="22"/>
                <w:szCs w:val="22"/>
              </w:rPr>
              <w:t>řešení vzniklých škod.</w:t>
            </w:r>
          </w:p>
          <w:p w14:paraId="666EB6B5" w14:textId="77777777" w:rsidR="00C62B2F" w:rsidRPr="00DB132D" w:rsidRDefault="0097525A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i/>
                <w:sz w:val="22"/>
                <w:szCs w:val="22"/>
              </w:rPr>
              <w:t>Součástí opatření je i nastavení postupu a odpovědnosti za rozhodování o disciplinárních opatřeních týkajících se účastníků korupčního jednání; disciplinární opatření musí mít za cíl zajistit ochranu majetku státu.</w:t>
            </w:r>
          </w:p>
        </w:tc>
      </w:tr>
      <w:tr w:rsidR="00654112" w:rsidRPr="00DB132D" w14:paraId="7D83BB63" w14:textId="77777777" w:rsidTr="00D1409B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591DE1" w14:textId="53654C48" w:rsidR="00D1409B" w:rsidRPr="00DE3150" w:rsidRDefault="00DE3150" w:rsidP="00D1409B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Úkol</w:t>
            </w:r>
            <w:r w:rsidR="00EE3FC6">
              <w:rPr>
                <w:rFonts w:ascii="Arial" w:hAnsi="Arial" w:cs="Arial"/>
                <w:b/>
                <w:sz w:val="22"/>
                <w:szCs w:val="22"/>
              </w:rPr>
              <w:t>: Zajistit vyhodnocení účinnosti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E3FC6">
              <w:rPr>
                <w:rFonts w:ascii="Arial" w:hAnsi="Arial" w:cs="Arial"/>
                <w:b/>
                <w:sz w:val="22"/>
                <w:szCs w:val="22"/>
              </w:rPr>
              <w:t>služebního předpisu, kterým byla</w:t>
            </w:r>
            <w:r w:rsidR="00D1409B" w:rsidRPr="00DE3150">
              <w:rPr>
                <w:rFonts w:ascii="Arial" w:hAnsi="Arial" w:cs="Arial"/>
                <w:b/>
                <w:sz w:val="22"/>
                <w:szCs w:val="22"/>
              </w:rPr>
              <w:t xml:space="preserve"> zřízena </w:t>
            </w:r>
            <w:r w:rsidR="00E67412" w:rsidRPr="00DE3150">
              <w:rPr>
                <w:rFonts w:ascii="Arial" w:hAnsi="Arial" w:cs="Arial"/>
                <w:b/>
                <w:sz w:val="22"/>
                <w:szCs w:val="22"/>
              </w:rPr>
              <w:t>kárná</w:t>
            </w:r>
            <w:r w:rsidR="00D1409B" w:rsidRPr="00DE3150">
              <w:rPr>
                <w:rFonts w:ascii="Arial" w:hAnsi="Arial" w:cs="Arial"/>
                <w:b/>
                <w:sz w:val="22"/>
                <w:szCs w:val="22"/>
              </w:rPr>
              <w:t xml:space="preserve"> komise</w:t>
            </w:r>
            <w:r w:rsidR="00EE3FC6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4DC2285" w14:textId="75A182A6" w:rsidR="00D1409B" w:rsidRPr="00DE3150" w:rsidRDefault="0010194A" w:rsidP="00D1409B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Odpovídá: s</w:t>
            </w:r>
            <w:r w:rsidR="00D1409B" w:rsidRPr="00DE3150">
              <w:rPr>
                <w:rFonts w:ascii="Arial" w:hAnsi="Arial" w:cs="Arial"/>
                <w:b/>
                <w:sz w:val="22"/>
                <w:szCs w:val="22"/>
              </w:rPr>
              <w:t xml:space="preserve">tátní tajemník </w:t>
            </w:r>
          </w:p>
          <w:p w14:paraId="5D400EC6" w14:textId="6B413B16" w:rsidR="00654112" w:rsidRPr="00DB132D" w:rsidRDefault="00D1409B" w:rsidP="00835A6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DE3150">
              <w:rPr>
                <w:rFonts w:ascii="Arial" w:hAnsi="Arial" w:cs="Arial"/>
                <w:b/>
                <w:sz w:val="22"/>
                <w:szCs w:val="22"/>
              </w:rPr>
              <w:t xml:space="preserve">Termín plnění: </w:t>
            </w:r>
            <w:r w:rsidR="00DE3150">
              <w:rPr>
                <w:rFonts w:ascii="Arial" w:hAnsi="Arial" w:cs="Arial"/>
                <w:b/>
                <w:sz w:val="22"/>
                <w:szCs w:val="22"/>
              </w:rPr>
              <w:t>každoročně k</w:t>
            </w:r>
            <w:r w:rsidR="00EE3FC6">
              <w:rPr>
                <w:rFonts w:ascii="Arial" w:hAnsi="Arial" w:cs="Arial"/>
                <w:b/>
                <w:sz w:val="22"/>
                <w:szCs w:val="22"/>
              </w:rPr>
              <w:t> 31</w:t>
            </w:r>
            <w:r w:rsidR="0010194A">
              <w:rPr>
                <w:rFonts w:ascii="Arial" w:hAnsi="Arial" w:cs="Arial"/>
                <w:b/>
                <w:sz w:val="22"/>
                <w:szCs w:val="22"/>
              </w:rPr>
              <w:t>. 1.</w:t>
            </w:r>
          </w:p>
        </w:tc>
      </w:tr>
    </w:tbl>
    <w:p w14:paraId="7030F06B" w14:textId="526DD746" w:rsidR="00DB132D" w:rsidRDefault="00DB132D" w:rsidP="00DB132D">
      <w:pPr>
        <w:tabs>
          <w:tab w:val="left" w:pos="7080"/>
        </w:tabs>
        <w:rPr>
          <w:rFonts w:ascii="Arial" w:hAnsi="Arial" w:cs="Arial"/>
          <w:sz w:val="22"/>
          <w:szCs w:val="22"/>
        </w:rPr>
      </w:pPr>
    </w:p>
    <w:p w14:paraId="44E56509" w14:textId="39971B58" w:rsidR="00C62B2F" w:rsidRPr="00DB132D" w:rsidRDefault="00835A63" w:rsidP="00835A63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363"/>
      </w:tblGrid>
      <w:tr w:rsidR="0097525A" w:rsidRPr="00DB132D" w14:paraId="436E5092" w14:textId="77777777" w:rsidTr="00914EA4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bookmarkStart w:id="28" w:name="BOD5"/>
          <w:p w14:paraId="2F61D7F9" w14:textId="77777777" w:rsidR="0097525A" w:rsidRPr="00DB132D" w:rsidRDefault="0097525A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1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29" w:author="Horník Jan" w:date="2013-06-28T12:00:00Z" w:original="5."/>
              </w:fldChar>
            </w:r>
            <w:bookmarkEnd w:id="28"/>
          </w:p>
        </w:tc>
        <w:tc>
          <w:tcPr>
            <w:tcW w:w="836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A72CCB" w14:textId="77777777" w:rsidR="0097525A" w:rsidRPr="00DB132D" w:rsidRDefault="0097525A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Vyhodnocování interního protikorupčního programu</w:t>
            </w:r>
          </w:p>
        </w:tc>
      </w:tr>
      <w:tr w:rsidR="0097525A" w:rsidRPr="00DB132D" w14:paraId="31BE83C8" w14:textId="77777777" w:rsidTr="00914EA4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15CF4C" w14:textId="77777777" w:rsidR="0097525A" w:rsidRPr="00DB132D" w:rsidRDefault="0097525A" w:rsidP="00595F48">
            <w:pPr>
              <w:autoSpaceDE w:val="0"/>
              <w:autoSpaceDN w:val="0"/>
              <w:adjustRightInd w:val="0"/>
              <w:ind w:left="539" w:hanging="539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>Cíl:</w:t>
            </w: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ab/>
              <w:t>Zdokonalovat interní protikorupční program a umožnit koordinaci protikorupčních aktivit napříč rezorty.</w:t>
            </w:r>
          </w:p>
        </w:tc>
      </w:tr>
      <w:tr w:rsidR="0097525A" w:rsidRPr="00DB132D" w14:paraId="452655D4" w14:textId="77777777" w:rsidTr="00914EA4">
        <w:trPr>
          <w:trHeight w:hRule="exact" w:val="255"/>
          <w:jc w:val="center"/>
        </w:trPr>
        <w:tc>
          <w:tcPr>
            <w:tcW w:w="907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D25C28" w14:textId="77777777" w:rsidR="0097525A" w:rsidRPr="00DB132D" w:rsidRDefault="0097525A" w:rsidP="00595F4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Start w:id="30" w:name="BOD51"/>
      <w:tr w:rsidR="0097525A" w:rsidRPr="00DB132D" w14:paraId="6418C8B3" w14:textId="77777777" w:rsidTr="00914EA4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7840C" w14:textId="77777777" w:rsidR="0097525A" w:rsidRPr="00DB132D" w:rsidRDefault="0097525A" w:rsidP="00595F4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31" w:author="Horník Jan" w:date="2013-06-28T12:00:00Z" w:original="5.1."/>
              </w:fldChar>
            </w:r>
            <w:bookmarkEnd w:id="30"/>
          </w:p>
        </w:tc>
        <w:tc>
          <w:tcPr>
            <w:tcW w:w="8363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1BEFE" w14:textId="4790959C" w:rsidR="0097525A" w:rsidRPr="00DB132D" w:rsidRDefault="00AA2F65" w:rsidP="00CB2C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Sběr dat </w:t>
            </w:r>
            <w:r w:rsidR="00E83DEB" w:rsidRPr="00DB132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</w:t>
            </w:r>
            <w:r w:rsidR="003F31BF" w:rsidRPr="00DB132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vyhodnocení</w:t>
            </w:r>
            <w:r w:rsidR="003F31BF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82D6B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interního protikorupčního programu</w:t>
            </w:r>
            <w:r w:rsidR="00E83DEB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83DEB" w:rsidRPr="00DB132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jednotlivými organizačními celky</w:t>
            </w:r>
          </w:p>
        </w:tc>
      </w:tr>
      <w:tr w:rsidR="0097525A" w:rsidRPr="00DB132D" w14:paraId="78A3EA27" w14:textId="77777777" w:rsidTr="00914EA4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85E3C" w14:textId="3394FAC4" w:rsidR="0097525A" w:rsidRPr="006D6DB5" w:rsidRDefault="003F31BF" w:rsidP="006D6DB5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D6DB5">
              <w:rPr>
                <w:rFonts w:ascii="Arial" w:hAnsi="Arial" w:cs="Arial"/>
                <w:sz w:val="22"/>
                <w:szCs w:val="22"/>
              </w:rPr>
              <w:t xml:space="preserve">Sběr dat </w:t>
            </w:r>
            <w:r w:rsidR="00E83DEB" w:rsidRPr="006D6DB5">
              <w:rPr>
                <w:rFonts w:ascii="Arial" w:hAnsi="Arial" w:cs="Arial"/>
                <w:sz w:val="22"/>
                <w:szCs w:val="22"/>
              </w:rPr>
              <w:t>a</w:t>
            </w:r>
            <w:r w:rsidRPr="006D6DB5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E82D6B" w:rsidRPr="006D6DB5">
              <w:rPr>
                <w:rFonts w:ascii="Arial" w:hAnsi="Arial" w:cs="Arial"/>
                <w:sz w:val="22"/>
                <w:szCs w:val="22"/>
              </w:rPr>
              <w:t xml:space="preserve">ravidelné </w:t>
            </w:r>
            <w:r w:rsidR="00993737" w:rsidRPr="006D6DB5">
              <w:rPr>
                <w:rFonts w:ascii="Arial" w:hAnsi="Arial" w:cs="Arial"/>
                <w:sz w:val="22"/>
                <w:szCs w:val="22"/>
              </w:rPr>
              <w:t xml:space="preserve">roční </w:t>
            </w:r>
            <w:r w:rsidR="00E82D6B" w:rsidRPr="006D6DB5">
              <w:rPr>
                <w:rFonts w:ascii="Arial" w:hAnsi="Arial" w:cs="Arial"/>
                <w:sz w:val="22"/>
                <w:szCs w:val="22"/>
              </w:rPr>
              <w:t>hodnocení interního protikorupčního programu.</w:t>
            </w:r>
          </w:p>
        </w:tc>
      </w:tr>
      <w:tr w:rsidR="00E82D6B" w:rsidRPr="00DB132D" w14:paraId="0CF17D6F" w14:textId="77777777" w:rsidTr="00914EA4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AC983" w14:textId="77777777" w:rsidR="00E82D6B" w:rsidRPr="00DB132D" w:rsidRDefault="00E82D6B" w:rsidP="00595F48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i/>
                <w:sz w:val="22"/>
                <w:szCs w:val="22"/>
              </w:rPr>
              <w:t>Vyhodnocení účinnosti interního protikorupčního programu je zaměřeno na plnění všech jeho částí (jak kvalitativně, tak kvantitativně), na účinnost tohoto plnění a na implementac</w:t>
            </w:r>
            <w:r w:rsidR="001415F7" w:rsidRPr="00DB132D">
              <w:rPr>
                <w:rFonts w:ascii="Arial" w:hAnsi="Arial" w:cs="Arial"/>
                <w:i/>
                <w:sz w:val="22"/>
                <w:szCs w:val="22"/>
              </w:rPr>
              <w:t>i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 nápravných opatření.</w:t>
            </w:r>
          </w:p>
        </w:tc>
      </w:tr>
      <w:tr w:rsidR="006D6DB5" w:rsidRPr="00DB132D" w14:paraId="1FF49B18" w14:textId="77777777" w:rsidTr="00914EA4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5F795" w14:textId="04252EB5" w:rsidR="006D6DB5" w:rsidRDefault="006D6DB5" w:rsidP="006D6DB5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Úkol: </w:t>
            </w:r>
            <w:r w:rsidR="00027B3C">
              <w:rPr>
                <w:rFonts w:ascii="Arial" w:hAnsi="Arial" w:cs="Arial"/>
                <w:b/>
                <w:sz w:val="22"/>
                <w:szCs w:val="22"/>
              </w:rPr>
              <w:t xml:space="preserve">Zaslat informaci o způsobu a datu splnění úkolů </w:t>
            </w:r>
            <w:r w:rsidR="00914EA4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027B3C">
              <w:rPr>
                <w:rFonts w:ascii="Arial" w:hAnsi="Arial" w:cs="Arial"/>
                <w:b/>
                <w:sz w:val="22"/>
                <w:szCs w:val="22"/>
              </w:rPr>
              <w:t>IPP v</w:t>
            </w:r>
            <w:r w:rsidR="00914EA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027B3C">
              <w:rPr>
                <w:rFonts w:ascii="Arial" w:hAnsi="Arial" w:cs="Arial"/>
                <w:b/>
                <w:sz w:val="22"/>
                <w:szCs w:val="22"/>
              </w:rPr>
              <w:t>gesci</w:t>
            </w:r>
            <w:r w:rsidR="00914EA4">
              <w:rPr>
                <w:rFonts w:ascii="Arial" w:hAnsi="Arial" w:cs="Arial"/>
                <w:b/>
                <w:sz w:val="22"/>
                <w:szCs w:val="22"/>
              </w:rPr>
              <w:t xml:space="preserve"> jednotlivých garantů nebo </w:t>
            </w:r>
            <w:r w:rsidR="00027B3C">
              <w:rPr>
                <w:rFonts w:ascii="Arial" w:hAnsi="Arial" w:cs="Arial"/>
                <w:b/>
                <w:sz w:val="22"/>
                <w:szCs w:val="22"/>
              </w:rPr>
              <w:t xml:space="preserve">jednotlivých sekcí MŠMT, případně zdůvodnění, proč daný úkol nebyl ke stanovenému datu splněn, či jaké bylo případné náhradní plnění.  </w:t>
            </w:r>
          </w:p>
          <w:p w14:paraId="3C87DAF5" w14:textId="4CC6600B" w:rsidR="006D6DB5" w:rsidRDefault="006D6DB5" w:rsidP="006D6DB5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Odpovídá: </w:t>
            </w:r>
            <w:r w:rsidR="00027B3C">
              <w:rPr>
                <w:rFonts w:ascii="Arial" w:hAnsi="Arial" w:cs="Arial"/>
                <w:b/>
                <w:sz w:val="22"/>
                <w:szCs w:val="22"/>
              </w:rPr>
              <w:t>gestoři úkolů v částech 1. – 4. IPP MŠMT</w:t>
            </w:r>
          </w:p>
          <w:p w14:paraId="3C54E57C" w14:textId="148FB805" w:rsidR="00914EA4" w:rsidRPr="00DB132D" w:rsidRDefault="00914EA4" w:rsidP="004842E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každoročně k 15. 12.</w:t>
            </w:r>
          </w:p>
        </w:tc>
      </w:tr>
      <w:tr w:rsidR="0097525A" w:rsidRPr="00DB132D" w14:paraId="67C8C3BE" w14:textId="77777777" w:rsidTr="00914EA4">
        <w:trPr>
          <w:trHeight w:hRule="exact" w:val="113"/>
          <w:jc w:val="center"/>
        </w:trPr>
        <w:tc>
          <w:tcPr>
            <w:tcW w:w="90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F825A3" w14:textId="77777777" w:rsidR="0097525A" w:rsidRPr="00DB132D" w:rsidRDefault="0097525A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Start w:id="32" w:name="BOD52"/>
      <w:tr w:rsidR="0097525A" w:rsidRPr="00DB132D" w14:paraId="0AEEA382" w14:textId="77777777" w:rsidTr="00914EA4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A2E96" w14:textId="77777777" w:rsidR="0097525A" w:rsidRPr="00DB132D" w:rsidRDefault="0097525A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33" w:author="Horník Jan" w:date="2013-06-28T12:00:00Z" w:original="5.2."/>
              </w:fldChar>
            </w:r>
            <w:bookmarkEnd w:id="32"/>
          </w:p>
        </w:tc>
        <w:tc>
          <w:tcPr>
            <w:tcW w:w="8363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9ECCF" w14:textId="13F50D49" w:rsidR="0097525A" w:rsidRPr="00DB132D" w:rsidRDefault="00FF23D7" w:rsidP="003F31B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9248A7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právy o </w:t>
            </w:r>
            <w:r w:rsidR="00DF43AE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rezortním </w:t>
            </w:r>
            <w:r w:rsidR="009248A7"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interním protikorupčním programu</w:t>
            </w:r>
          </w:p>
        </w:tc>
      </w:tr>
      <w:tr w:rsidR="0097525A" w:rsidRPr="00DB132D" w14:paraId="1F2D675F" w14:textId="77777777" w:rsidTr="00914EA4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371B2" w14:textId="10481ECC" w:rsidR="0097525A" w:rsidRPr="006D6DB5" w:rsidRDefault="009248A7" w:rsidP="00A129BB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D6DB5">
              <w:rPr>
                <w:rFonts w:ascii="Arial" w:hAnsi="Arial" w:cs="Arial"/>
                <w:sz w:val="22"/>
                <w:szCs w:val="22"/>
              </w:rPr>
              <w:t>Každoroční</w:t>
            </w:r>
            <w:r w:rsidR="00E83DEB" w:rsidRPr="006D6DB5">
              <w:rPr>
                <w:rFonts w:ascii="Arial" w:hAnsi="Arial" w:cs="Arial"/>
                <w:sz w:val="22"/>
                <w:szCs w:val="22"/>
              </w:rPr>
              <w:t xml:space="preserve"> agregace informací z</w:t>
            </w:r>
            <w:r w:rsidR="00533D1D" w:rsidRPr="006D6DB5">
              <w:rPr>
                <w:rFonts w:ascii="Arial" w:hAnsi="Arial" w:cs="Arial"/>
                <w:sz w:val="22"/>
                <w:szCs w:val="22"/>
              </w:rPr>
              <w:t> </w:t>
            </w:r>
            <w:r w:rsidR="00E83DEB" w:rsidRPr="006D6DB5">
              <w:rPr>
                <w:rFonts w:ascii="Arial" w:hAnsi="Arial" w:cs="Arial"/>
                <w:sz w:val="22"/>
                <w:szCs w:val="22"/>
              </w:rPr>
              <w:t>vyhodnocení</w:t>
            </w:r>
            <w:r w:rsidR="00533D1D" w:rsidRPr="006D6D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29BB" w:rsidRPr="006D6DB5">
              <w:rPr>
                <w:rFonts w:ascii="Arial" w:hAnsi="Arial" w:cs="Arial"/>
                <w:sz w:val="22"/>
                <w:szCs w:val="22"/>
              </w:rPr>
              <w:t xml:space="preserve">zaslaných jednotlivými </w:t>
            </w:r>
            <w:r w:rsidR="00533D1D" w:rsidRPr="006D6DB5">
              <w:rPr>
                <w:rFonts w:ascii="Arial" w:hAnsi="Arial" w:cs="Arial"/>
                <w:sz w:val="22"/>
                <w:szCs w:val="22"/>
              </w:rPr>
              <w:t>organizační</w:t>
            </w:r>
            <w:r w:rsidR="00A129BB" w:rsidRPr="006D6DB5">
              <w:rPr>
                <w:rFonts w:ascii="Arial" w:hAnsi="Arial" w:cs="Arial"/>
                <w:sz w:val="22"/>
                <w:szCs w:val="22"/>
              </w:rPr>
              <w:t>mi</w:t>
            </w:r>
            <w:r w:rsidR="00533D1D" w:rsidRPr="006D6DB5">
              <w:rPr>
                <w:rFonts w:ascii="Arial" w:hAnsi="Arial" w:cs="Arial"/>
                <w:sz w:val="22"/>
                <w:szCs w:val="22"/>
              </w:rPr>
              <w:t xml:space="preserve"> celk</w:t>
            </w:r>
            <w:r w:rsidR="00A129BB" w:rsidRPr="006D6DB5">
              <w:rPr>
                <w:rFonts w:ascii="Arial" w:hAnsi="Arial" w:cs="Arial"/>
                <w:sz w:val="22"/>
                <w:szCs w:val="22"/>
              </w:rPr>
              <w:t>y</w:t>
            </w:r>
            <w:r w:rsidR="00533D1D" w:rsidRPr="006D6DB5">
              <w:rPr>
                <w:rFonts w:ascii="Arial" w:hAnsi="Arial" w:cs="Arial"/>
                <w:sz w:val="22"/>
                <w:szCs w:val="22"/>
              </w:rPr>
              <w:t xml:space="preserve"> a následné</w:t>
            </w:r>
            <w:r w:rsidRPr="006D6DB5">
              <w:rPr>
                <w:rFonts w:ascii="Arial" w:hAnsi="Arial" w:cs="Arial"/>
                <w:sz w:val="22"/>
                <w:szCs w:val="22"/>
              </w:rPr>
              <w:t xml:space="preserve"> zpracování zprávy o </w:t>
            </w:r>
            <w:r w:rsidR="00DF43AE" w:rsidRPr="006D6DB5">
              <w:rPr>
                <w:rFonts w:ascii="Arial" w:hAnsi="Arial" w:cs="Arial"/>
                <w:sz w:val="22"/>
                <w:szCs w:val="22"/>
              </w:rPr>
              <w:t xml:space="preserve">plnění rezortního </w:t>
            </w:r>
            <w:r w:rsidRPr="006D6DB5">
              <w:rPr>
                <w:rFonts w:ascii="Arial" w:hAnsi="Arial" w:cs="Arial"/>
                <w:sz w:val="22"/>
                <w:szCs w:val="22"/>
              </w:rPr>
              <w:t>interní</w:t>
            </w:r>
            <w:r w:rsidR="00DF43AE" w:rsidRPr="006D6DB5">
              <w:rPr>
                <w:rFonts w:ascii="Arial" w:hAnsi="Arial" w:cs="Arial"/>
                <w:sz w:val="22"/>
                <w:szCs w:val="22"/>
              </w:rPr>
              <w:t>ho</w:t>
            </w:r>
            <w:r w:rsidRPr="006D6DB5">
              <w:rPr>
                <w:rFonts w:ascii="Arial" w:hAnsi="Arial" w:cs="Arial"/>
                <w:sz w:val="22"/>
                <w:szCs w:val="22"/>
              </w:rPr>
              <w:t xml:space="preserve"> protikorupční</w:t>
            </w:r>
            <w:r w:rsidR="00DF43AE" w:rsidRPr="006D6DB5">
              <w:rPr>
                <w:rFonts w:ascii="Arial" w:hAnsi="Arial" w:cs="Arial"/>
                <w:sz w:val="22"/>
                <w:szCs w:val="22"/>
              </w:rPr>
              <w:t>ho</w:t>
            </w:r>
            <w:r w:rsidRPr="006D6DB5">
              <w:rPr>
                <w:rFonts w:ascii="Arial" w:hAnsi="Arial" w:cs="Arial"/>
                <w:sz w:val="22"/>
                <w:szCs w:val="22"/>
              </w:rPr>
              <w:t xml:space="preserve"> programu a </w:t>
            </w:r>
            <w:r w:rsidR="00DF43AE" w:rsidRPr="006D6DB5">
              <w:rPr>
                <w:rFonts w:ascii="Arial" w:hAnsi="Arial" w:cs="Arial"/>
                <w:sz w:val="22"/>
                <w:szCs w:val="22"/>
              </w:rPr>
              <w:t>přijatých nápravných opatřeních</w:t>
            </w:r>
            <w:r w:rsidRPr="006D6D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7525A" w:rsidRPr="00DB132D" w14:paraId="50C10662" w14:textId="77777777" w:rsidTr="00914EA4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379B6" w14:textId="315A19DC" w:rsidR="0097525A" w:rsidRPr="00DB132D" w:rsidRDefault="009248A7" w:rsidP="004F5BEE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i/>
                <w:sz w:val="22"/>
                <w:szCs w:val="22"/>
              </w:rPr>
              <w:t>Obsahem zprávy je stav implementace protikorupčních nástrojů</w:t>
            </w:r>
            <w:r w:rsidR="007F53DC" w:rsidRPr="00DB132D">
              <w:rPr>
                <w:rFonts w:ascii="Arial" w:hAnsi="Arial" w:cs="Arial"/>
                <w:i/>
                <w:sz w:val="22"/>
                <w:szCs w:val="22"/>
              </w:rPr>
              <w:t xml:space="preserve"> a plán jejich nápravných opatření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>, systém a rozsah školení, mapa</w:t>
            </w:r>
            <w:r w:rsidR="004F5BEE" w:rsidRPr="00DB132D">
              <w:rPr>
                <w:rFonts w:ascii="Arial" w:hAnsi="Arial" w:cs="Arial"/>
                <w:i/>
                <w:sz w:val="22"/>
                <w:szCs w:val="22"/>
              </w:rPr>
              <w:t>/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katalog korupčních rizik, počet identifikovaných podezření na korupci </w:t>
            </w:r>
            <w:r w:rsidR="007F53DC" w:rsidRPr="00DB132D">
              <w:rPr>
                <w:rFonts w:ascii="Arial" w:hAnsi="Arial" w:cs="Arial"/>
                <w:i/>
                <w:sz w:val="22"/>
                <w:szCs w:val="22"/>
              </w:rPr>
              <w:t>a 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>výsledky jejich prověření</w:t>
            </w:r>
            <w:r w:rsidR="007F53DC" w:rsidRPr="00DB132D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DB132D">
              <w:rPr>
                <w:rFonts w:ascii="Arial" w:hAnsi="Arial" w:cs="Arial"/>
                <w:i/>
                <w:sz w:val="22"/>
                <w:szCs w:val="22"/>
              </w:rPr>
              <w:t xml:space="preserve"> výsledek hodnocení účinnosti celého protikorupčního programu.</w:t>
            </w:r>
          </w:p>
        </w:tc>
      </w:tr>
      <w:tr w:rsidR="007F53DC" w:rsidRPr="00DB132D" w14:paraId="42C4AD03" w14:textId="77777777" w:rsidTr="00914EA4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326E77" w14:textId="7EED1CF2" w:rsidR="007F53DC" w:rsidRPr="006D6DB5" w:rsidRDefault="007F53DC" w:rsidP="006D6DB5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trike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t>Tip:</w:t>
            </w:r>
            <w:r w:rsidR="00CB2C6E" w:rsidRPr="00DB13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B2C6E" w:rsidRPr="00DB132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Termín pro zpracování agregovaných informací z vyhodnocení interního protikorupčního programu a jejich zpracování do zprávy o rezortním interním protikorupčním programu je stanoven na 31. října.  </w:t>
            </w:r>
          </w:p>
        </w:tc>
      </w:tr>
      <w:tr w:rsidR="006D6DB5" w:rsidRPr="00DB132D" w14:paraId="12B1F76C" w14:textId="77777777" w:rsidTr="00914EA4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2360A" w14:textId="325C3720" w:rsidR="006D6DB5" w:rsidRDefault="006D6DB5" w:rsidP="006D6DB5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Úkol: </w:t>
            </w:r>
            <w:r w:rsidR="00027B3C">
              <w:rPr>
                <w:rFonts w:ascii="Arial" w:hAnsi="Arial" w:cs="Arial"/>
                <w:b/>
                <w:sz w:val="22"/>
                <w:szCs w:val="22"/>
              </w:rPr>
              <w:t xml:space="preserve">Na základě dat poskytnutých gestory jednotlivých úkolů IPP MŠMT provést vyhodnocení plnění IPP a zpracovat zprávu o plnění IPP MŠMT. </w:t>
            </w:r>
          </w:p>
          <w:p w14:paraId="6E7FF286" w14:textId="1EB2E0E7" w:rsidR="006D6DB5" w:rsidRDefault="006D6DB5" w:rsidP="006D6DB5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Odpovídá: </w:t>
            </w:r>
            <w:r w:rsidR="00027B3C">
              <w:rPr>
                <w:rFonts w:ascii="Arial" w:hAnsi="Arial" w:cs="Arial"/>
                <w:b/>
                <w:sz w:val="22"/>
                <w:szCs w:val="22"/>
              </w:rPr>
              <w:t>VO M1</w:t>
            </w:r>
          </w:p>
          <w:p w14:paraId="648D102A" w14:textId="4126A1DA" w:rsidR="00914EA4" w:rsidRPr="00DB132D" w:rsidRDefault="00914EA4" w:rsidP="004842E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každoročně k 28.</w:t>
            </w:r>
            <w:r w:rsidR="00A63E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</w:tr>
      <w:tr w:rsidR="00DF43AE" w:rsidRPr="00DB132D" w14:paraId="1BB12A4A" w14:textId="77777777" w:rsidTr="00914EA4">
        <w:trPr>
          <w:trHeight w:hRule="exact" w:val="113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2E2795" w14:textId="77777777" w:rsidR="00DF43AE" w:rsidRPr="00DB132D" w:rsidRDefault="00DF43AE" w:rsidP="00595F48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Start w:id="34" w:name="BOD53"/>
      <w:tr w:rsidR="00DF43AE" w:rsidRPr="00DB132D" w14:paraId="5BD68A45" w14:textId="77777777" w:rsidTr="00914EA4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B02455" w14:textId="77777777" w:rsidR="00DF43AE" w:rsidRPr="00DB132D" w:rsidRDefault="00DF43AE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>
                <w:numberingChange w:id="35" w:author="Horník Jan" w:date="2013-06-28T12:00:00Z" w:original="5.3."/>
              </w:fldChar>
            </w:r>
            <w:bookmarkEnd w:id="34"/>
          </w:p>
        </w:tc>
        <w:tc>
          <w:tcPr>
            <w:tcW w:w="836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6ECDB5" w14:textId="77777777" w:rsidR="00DF43AE" w:rsidRPr="00DB132D" w:rsidRDefault="00DF43AE" w:rsidP="00595F48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t>Aktualizace rezortního interního protikorupčního programu</w:t>
            </w:r>
          </w:p>
        </w:tc>
      </w:tr>
      <w:tr w:rsidR="00DF43AE" w:rsidRPr="00DB132D" w14:paraId="5A2173AA" w14:textId="77777777" w:rsidTr="00914EA4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35A06" w14:textId="46187C52" w:rsidR="00DF43AE" w:rsidRPr="006D6DB5" w:rsidRDefault="00DF43AE" w:rsidP="004842E3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D6DB5">
              <w:rPr>
                <w:rFonts w:ascii="Arial" w:hAnsi="Arial" w:cs="Arial"/>
                <w:sz w:val="22"/>
                <w:szCs w:val="22"/>
              </w:rPr>
              <w:t>Na základě zprávy o plnění</w:t>
            </w:r>
            <w:r w:rsidR="003E2382" w:rsidRPr="006D6DB5">
              <w:rPr>
                <w:rFonts w:ascii="Arial" w:hAnsi="Arial" w:cs="Arial"/>
                <w:sz w:val="22"/>
                <w:szCs w:val="22"/>
              </w:rPr>
              <w:t xml:space="preserve"> a po kontrole souladu s aktuálním </w:t>
            </w:r>
            <w:r w:rsidR="00A129BB" w:rsidRPr="006D6DB5">
              <w:rPr>
                <w:rFonts w:ascii="Arial" w:hAnsi="Arial" w:cs="Arial"/>
                <w:sz w:val="22"/>
                <w:szCs w:val="22"/>
              </w:rPr>
              <w:t>R</w:t>
            </w:r>
            <w:r w:rsidR="003E2382" w:rsidRPr="006D6DB5">
              <w:rPr>
                <w:rFonts w:ascii="Arial" w:hAnsi="Arial" w:cs="Arial"/>
                <w:sz w:val="22"/>
                <w:szCs w:val="22"/>
              </w:rPr>
              <w:t>ámcovým rezortním interním protikorupčním programem</w:t>
            </w:r>
            <w:r w:rsidR="00825F81" w:rsidRPr="006D6D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6DB5">
              <w:rPr>
                <w:rFonts w:ascii="Arial" w:hAnsi="Arial" w:cs="Arial"/>
                <w:sz w:val="22"/>
                <w:szCs w:val="22"/>
              </w:rPr>
              <w:t xml:space="preserve">aktualizovat rezortní interní protikorupční program </w:t>
            </w:r>
            <w:r w:rsidR="001B14D3" w:rsidRPr="006D6DB5">
              <w:rPr>
                <w:rFonts w:ascii="Arial" w:hAnsi="Arial" w:cs="Arial"/>
                <w:sz w:val="22"/>
                <w:szCs w:val="22"/>
              </w:rPr>
              <w:t xml:space="preserve">a jeho aktuální znění zveřejnit na internetových stránkách </w:t>
            </w:r>
            <w:r w:rsidR="004F5BEE" w:rsidRPr="006D6DB5">
              <w:rPr>
                <w:rFonts w:ascii="Arial" w:hAnsi="Arial" w:cs="Arial"/>
                <w:sz w:val="22"/>
                <w:szCs w:val="22"/>
              </w:rPr>
              <w:t>rezortu</w:t>
            </w:r>
            <w:r w:rsidR="001B14D3" w:rsidRPr="006D6DB5">
              <w:rPr>
                <w:rFonts w:ascii="Arial" w:hAnsi="Arial" w:cs="Arial"/>
                <w:sz w:val="22"/>
                <w:szCs w:val="22"/>
              </w:rPr>
              <w:t>/ ústředního správního úřadu.</w:t>
            </w:r>
          </w:p>
        </w:tc>
      </w:tr>
      <w:tr w:rsidR="006D6DB5" w:rsidRPr="00DB132D" w14:paraId="107A5341" w14:textId="77777777" w:rsidTr="00914EA4">
        <w:trPr>
          <w:jc w:val="center"/>
        </w:trPr>
        <w:tc>
          <w:tcPr>
            <w:tcW w:w="9072" w:type="dxa"/>
            <w:gridSpan w:val="2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78122" w14:textId="647C08E6" w:rsidR="006D6DB5" w:rsidRDefault="006D6DB5" w:rsidP="006D6DB5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Úkol: Provést aktualizaci </w:t>
            </w:r>
            <w:r w:rsidR="00027B3C">
              <w:rPr>
                <w:rFonts w:ascii="Arial" w:hAnsi="Arial" w:cs="Arial"/>
                <w:b/>
                <w:sz w:val="22"/>
                <w:szCs w:val="22"/>
              </w:rPr>
              <w:t xml:space="preserve">interního protikorupčního programu </w:t>
            </w:r>
          </w:p>
          <w:p w14:paraId="6671AC32" w14:textId="305DEF52" w:rsidR="006D6DB5" w:rsidRDefault="006D6DB5" w:rsidP="006D6DB5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Odpovídá: </w:t>
            </w:r>
            <w:r w:rsidR="00027B3C">
              <w:rPr>
                <w:rFonts w:ascii="Arial" w:hAnsi="Arial" w:cs="Arial"/>
                <w:b/>
                <w:sz w:val="22"/>
                <w:szCs w:val="22"/>
              </w:rPr>
              <w:t>VO M1</w:t>
            </w:r>
          </w:p>
          <w:p w14:paraId="52548B8C" w14:textId="64A45351" w:rsidR="00914EA4" w:rsidRPr="00DB132D" w:rsidRDefault="00914EA4" w:rsidP="004842E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každoročně k 31. 3.</w:t>
            </w:r>
          </w:p>
        </w:tc>
      </w:tr>
    </w:tbl>
    <w:p w14:paraId="0F1D4277" w14:textId="501E0E12" w:rsidR="00914EA4" w:rsidRDefault="00914EA4" w:rsidP="00136F3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</w:rPr>
      </w:pPr>
    </w:p>
    <w:p w14:paraId="3310EC34" w14:textId="77777777" w:rsidR="00914EA4" w:rsidRDefault="00914EA4" w:rsidP="00136F3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</w:rPr>
      </w:pPr>
    </w:p>
    <w:p w14:paraId="2B4252A5" w14:textId="77777777" w:rsidR="00914EA4" w:rsidRDefault="00914EA4" w:rsidP="00136F3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</w:rPr>
      </w:pPr>
    </w:p>
    <w:p w14:paraId="481C390C" w14:textId="77777777" w:rsidR="0010194A" w:rsidRDefault="0010194A">
      <w:pPr>
        <w:spacing w:line="240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BCBD399" w14:textId="2C0E9FFB" w:rsidR="00835A63" w:rsidRPr="00FE5421" w:rsidRDefault="00835A63" w:rsidP="00136F3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</w:rPr>
      </w:pPr>
      <w:r w:rsidRPr="00FE5421">
        <w:rPr>
          <w:rFonts w:ascii="Arial" w:hAnsi="Arial" w:cs="Arial"/>
          <w:b/>
        </w:rPr>
        <w:t>Úkoly resortních organizací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"/>
        <w:gridCol w:w="8332"/>
        <w:gridCol w:w="12"/>
        <w:gridCol w:w="18"/>
      </w:tblGrid>
      <w:tr w:rsidR="00835A63" w:rsidRPr="00DB132D" w14:paraId="3A275EC6" w14:textId="77777777" w:rsidTr="00835A63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FF99CC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14A14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1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FF99CC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3D5A0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t>Vytváření a posilování protikorupčního klimatu</w:t>
            </w:r>
          </w:p>
        </w:tc>
      </w:tr>
      <w:tr w:rsidR="00835A63" w:rsidRPr="00DB132D" w14:paraId="257E2CAC" w14:textId="77777777" w:rsidTr="00835A63">
        <w:trPr>
          <w:trHeight w:val="580"/>
          <w:jc w:val="center"/>
        </w:trPr>
        <w:tc>
          <w:tcPr>
            <w:tcW w:w="9072" w:type="dxa"/>
            <w:gridSpan w:val="5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6BB151" w14:textId="77777777" w:rsidR="00835A63" w:rsidRPr="00DB132D" w:rsidRDefault="00835A63" w:rsidP="008C71AC">
            <w:pPr>
              <w:autoSpaceDE w:val="0"/>
              <w:autoSpaceDN w:val="0"/>
              <w:adjustRightInd w:val="0"/>
              <w:ind w:left="539" w:hanging="539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>Cíl:</w:t>
            </w: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ab/>
              <w:t>Snižovat motivaci zaměstnanců ke korupci a zvyšovat pravděpodobnost jejího odhalení.</w:t>
            </w:r>
          </w:p>
        </w:tc>
      </w:tr>
      <w:tr w:rsidR="00835A63" w:rsidRPr="00DB132D" w14:paraId="0AF60EFD" w14:textId="77777777" w:rsidTr="00835A63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47775" w14:textId="77777777" w:rsidR="00835A63" w:rsidRPr="00DB132D" w:rsidRDefault="00835A63" w:rsidP="008C71A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63" w:type="dxa"/>
            <w:gridSpan w:val="4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E7AD75" w14:textId="77777777" w:rsidR="00835A63" w:rsidRPr="00DB132D" w:rsidRDefault="00835A63" w:rsidP="008C71A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Propagace protikorupčního postoje vedoucími pracovníky</w:t>
            </w:r>
          </w:p>
        </w:tc>
      </w:tr>
      <w:tr w:rsidR="00835A63" w:rsidRPr="00DB132D" w14:paraId="36CC3DB2" w14:textId="77777777" w:rsidTr="00835A63">
        <w:trPr>
          <w:jc w:val="center"/>
        </w:trPr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9BD34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 xml:space="preserve">Rozšíření základních povinností každého </w:t>
            </w:r>
            <w:r w:rsidRPr="0010194A">
              <w:rPr>
                <w:rFonts w:ascii="Arial" w:hAnsi="Arial" w:cs="Arial"/>
                <w:sz w:val="22"/>
                <w:szCs w:val="22"/>
              </w:rPr>
              <w:t>představeného/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vedoucího zaměstnance o prosazování protikorupčního postoje </w:t>
            </w:r>
          </w:p>
        </w:tc>
      </w:tr>
      <w:tr w:rsidR="00835A63" w:rsidRPr="00DB132D" w14:paraId="22D1F867" w14:textId="77777777" w:rsidTr="00835A63">
        <w:trPr>
          <w:trHeight w:hRule="exact" w:val="113"/>
          <w:jc w:val="center"/>
        </w:trPr>
        <w:tc>
          <w:tcPr>
            <w:tcW w:w="907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67AC48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8491F19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83ACCDD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A63" w:rsidRPr="00DB132D" w14:paraId="7614B546" w14:textId="77777777" w:rsidTr="00835A63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335125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63" w:type="dxa"/>
            <w:gridSpan w:val="4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CEE75" w14:textId="77777777" w:rsidR="00835A63" w:rsidRPr="00DB132D" w:rsidRDefault="00835A63" w:rsidP="008C71A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Etický kodex</w:t>
            </w:r>
          </w:p>
        </w:tc>
      </w:tr>
      <w:tr w:rsidR="00835A63" w:rsidRPr="00DB132D" w14:paraId="78D9CD49" w14:textId="77777777" w:rsidTr="00835A63">
        <w:trPr>
          <w:jc w:val="center"/>
        </w:trPr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B0AE3" w14:textId="22782D10" w:rsidR="00E22C92" w:rsidRDefault="00E22C92" w:rsidP="008C71AC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Zveřejnění Etického kodexu na webových stránkách organice.</w:t>
            </w:r>
          </w:p>
          <w:p w14:paraId="137B362B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Propagace čestného a etického jednání a definování žádoucího, resp. nežádoucího chování.</w:t>
            </w:r>
          </w:p>
        </w:tc>
      </w:tr>
      <w:tr w:rsidR="00835A63" w:rsidRPr="00DB132D" w14:paraId="1FE771C9" w14:textId="77777777" w:rsidTr="00835A63">
        <w:trPr>
          <w:trHeight w:hRule="exact" w:val="113"/>
          <w:jc w:val="center"/>
        </w:trPr>
        <w:tc>
          <w:tcPr>
            <w:tcW w:w="907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A5562A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A63" w:rsidRPr="00DB132D" w14:paraId="1B261AD5" w14:textId="77777777" w:rsidTr="00835A63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4EE69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63" w:type="dxa"/>
            <w:gridSpan w:val="4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3AE313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Vzdělávání zaměstnanců</w:t>
            </w:r>
          </w:p>
        </w:tc>
      </w:tr>
      <w:tr w:rsidR="00835A63" w:rsidRPr="00DB132D" w14:paraId="75A248CF" w14:textId="77777777" w:rsidTr="00835A63">
        <w:trPr>
          <w:jc w:val="center"/>
        </w:trPr>
        <w:tc>
          <w:tcPr>
            <w:tcW w:w="907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E0296F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Pravidelná školení zaměstnanců na všech referentských i vedoucích úrovních.</w:t>
            </w:r>
          </w:p>
        </w:tc>
      </w:tr>
      <w:tr w:rsidR="00835A63" w:rsidRPr="00DB132D" w14:paraId="2D5566D3" w14:textId="77777777" w:rsidTr="00835A63">
        <w:trPr>
          <w:trHeight w:hRule="exact" w:val="113"/>
          <w:jc w:val="center"/>
        </w:trPr>
        <w:tc>
          <w:tcPr>
            <w:tcW w:w="907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006A75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C00FF77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A63" w:rsidRPr="00DB132D" w14:paraId="1E4A969B" w14:textId="77777777" w:rsidTr="00835A63">
        <w:trPr>
          <w:gridAfter w:val="1"/>
          <w:wAfter w:w="18" w:type="dxa"/>
          <w:jc w:val="center"/>
        </w:trPr>
        <w:tc>
          <w:tcPr>
            <w:tcW w:w="71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FF99CC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7DAB8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1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44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FF99CC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5EAE1E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Transparentnost</w:t>
            </w:r>
          </w:p>
        </w:tc>
      </w:tr>
      <w:tr w:rsidR="00835A63" w:rsidRPr="00DB132D" w14:paraId="14A496CA" w14:textId="77777777" w:rsidTr="00835A63">
        <w:trPr>
          <w:gridAfter w:val="2"/>
          <w:wAfter w:w="30" w:type="dxa"/>
          <w:trHeight w:val="526"/>
          <w:jc w:val="center"/>
        </w:trPr>
        <w:tc>
          <w:tcPr>
            <w:tcW w:w="9047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808CC1" w14:textId="77777777" w:rsidR="00835A63" w:rsidRPr="00DB132D" w:rsidRDefault="00835A63" w:rsidP="008C71AC">
            <w:pPr>
              <w:autoSpaceDE w:val="0"/>
              <w:autoSpaceDN w:val="0"/>
              <w:adjustRightInd w:val="0"/>
              <w:ind w:left="539" w:hanging="539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>Cíl:</w:t>
            </w: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ab/>
              <w:t>Odrazovat od korupčního jednání prostřednictvím zvyšování pravděpodobnosti odhalení.</w:t>
            </w:r>
          </w:p>
        </w:tc>
      </w:tr>
      <w:tr w:rsidR="00835A63" w:rsidRPr="00DB132D" w14:paraId="5C9C5727" w14:textId="77777777" w:rsidTr="00835A63">
        <w:trPr>
          <w:gridAfter w:val="1"/>
          <w:wAfter w:w="18" w:type="dxa"/>
          <w:jc w:val="center"/>
        </w:trPr>
        <w:tc>
          <w:tcPr>
            <w:tcW w:w="715" w:type="dxa"/>
            <w:gridSpan w:val="2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99296" w14:textId="77777777" w:rsidR="00835A63" w:rsidRPr="00DB132D" w:rsidRDefault="00835A63" w:rsidP="008C71A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44" w:type="dxa"/>
            <w:gridSpan w:val="2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937BF" w14:textId="77777777" w:rsidR="00835A63" w:rsidRPr="00DB132D" w:rsidRDefault="00835A63" w:rsidP="008C71A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Zveřejňování informací o veřejných prostředcích</w:t>
            </w:r>
          </w:p>
        </w:tc>
      </w:tr>
      <w:tr w:rsidR="00835A63" w:rsidRPr="00DB132D" w14:paraId="45082E4D" w14:textId="77777777" w:rsidTr="00835A63">
        <w:trPr>
          <w:gridAfter w:val="2"/>
          <w:wAfter w:w="30" w:type="dxa"/>
          <w:jc w:val="center"/>
        </w:trPr>
        <w:tc>
          <w:tcPr>
            <w:tcW w:w="90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858EB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Transparentní postupy a zpřístupňování informací o nakládání s veřejnými prostředky zaměstnancům a další veřejnosti, zveřejňování informací centrálně a ve formátu, který umožňuje jejich jednoduché zpracování.</w:t>
            </w:r>
          </w:p>
        </w:tc>
      </w:tr>
      <w:tr w:rsidR="00835A63" w:rsidRPr="00DB132D" w14:paraId="1F6725E5" w14:textId="77777777" w:rsidTr="00835A63">
        <w:trPr>
          <w:gridAfter w:val="2"/>
          <w:wAfter w:w="30" w:type="dxa"/>
          <w:trHeight w:hRule="exact" w:val="113"/>
          <w:jc w:val="center"/>
        </w:trPr>
        <w:tc>
          <w:tcPr>
            <w:tcW w:w="9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50E6C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35A63" w:rsidRPr="00DB132D" w14:paraId="3041316D" w14:textId="77777777" w:rsidTr="00835A63">
        <w:trPr>
          <w:gridAfter w:val="2"/>
          <w:wAfter w:w="30" w:type="dxa"/>
          <w:jc w:val="center"/>
        </w:trPr>
        <w:tc>
          <w:tcPr>
            <w:tcW w:w="715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581CE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3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19DD7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Zveřejňování informací o systému rozhodování</w:t>
            </w:r>
          </w:p>
        </w:tc>
      </w:tr>
      <w:tr w:rsidR="00835A63" w:rsidRPr="00DB132D" w14:paraId="58E97614" w14:textId="77777777" w:rsidTr="00835A63">
        <w:trPr>
          <w:gridAfter w:val="2"/>
          <w:wAfter w:w="30" w:type="dxa"/>
          <w:jc w:val="center"/>
        </w:trPr>
        <w:tc>
          <w:tcPr>
            <w:tcW w:w="9047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1E0CA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Transparentní aktivní zpřístupňování informací o struktuře a kompetencích při rozhodování organizace zaměstnancům a další veřejnosti.</w:t>
            </w:r>
          </w:p>
        </w:tc>
      </w:tr>
      <w:tr w:rsidR="00835A63" w:rsidRPr="00DB132D" w14:paraId="5C1E7837" w14:textId="77777777" w:rsidTr="00835A63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F0EF9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1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68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E06F9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Řízení korupčních rizik a monitoring kontrol</w:t>
            </w:r>
          </w:p>
        </w:tc>
      </w:tr>
      <w:tr w:rsidR="00835A63" w:rsidRPr="00DB132D" w14:paraId="722AAA43" w14:textId="77777777" w:rsidTr="00835A63">
        <w:trPr>
          <w:trHeight w:val="581"/>
          <w:jc w:val="center"/>
        </w:trPr>
        <w:tc>
          <w:tcPr>
            <w:tcW w:w="9077" w:type="dxa"/>
            <w:gridSpan w:val="5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6CD32" w14:textId="77777777" w:rsidR="00835A63" w:rsidRPr="00DB132D" w:rsidRDefault="00835A63" w:rsidP="008C71AC">
            <w:pPr>
              <w:autoSpaceDE w:val="0"/>
              <w:autoSpaceDN w:val="0"/>
              <w:adjustRightInd w:val="0"/>
              <w:ind w:left="539" w:hanging="539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>Cíl:</w:t>
            </w: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ab/>
              <w:t>Nastavit účinné kontrolní mechanismy a zajistit efektivní odhalování korupčního jednání.</w:t>
            </w:r>
          </w:p>
        </w:tc>
      </w:tr>
      <w:tr w:rsidR="00835A63" w:rsidRPr="00DB132D" w14:paraId="2B03FFA9" w14:textId="77777777" w:rsidTr="00835A63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D2C7E5" w14:textId="77777777" w:rsidR="00835A63" w:rsidRPr="00DB132D" w:rsidRDefault="00835A63" w:rsidP="008C71A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68" w:type="dxa"/>
            <w:gridSpan w:val="4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4B8A43" w14:textId="41124E69" w:rsidR="00835A63" w:rsidRPr="00DB132D" w:rsidRDefault="00835A63" w:rsidP="00835A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Hodnocení korupčních rizik</w:t>
            </w:r>
          </w:p>
        </w:tc>
      </w:tr>
      <w:tr w:rsidR="00835A63" w:rsidRPr="00DB132D" w14:paraId="1CF16081" w14:textId="77777777" w:rsidTr="00835A63">
        <w:trPr>
          <w:jc w:val="center"/>
        </w:trPr>
        <w:tc>
          <w:tcPr>
            <w:tcW w:w="9077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3CFA2" w14:textId="0F05B733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sz w:val="22"/>
                <w:szCs w:val="22"/>
              </w:rPr>
              <w:t>Hodno</w:t>
            </w:r>
            <w:r w:rsidR="00E22C92">
              <w:rPr>
                <w:rFonts w:ascii="Arial" w:hAnsi="Arial" w:cs="Arial"/>
                <w:sz w:val="22"/>
                <w:szCs w:val="22"/>
              </w:rPr>
              <w:t>cení korupčních rizik, provádět</w:t>
            </w:r>
            <w:r w:rsidRPr="00DB132D">
              <w:rPr>
                <w:rFonts w:ascii="Arial" w:hAnsi="Arial" w:cs="Arial"/>
                <w:sz w:val="22"/>
                <w:szCs w:val="22"/>
              </w:rPr>
              <w:t xml:space="preserve"> pravidelně alespoň jedenkrát ročně.</w:t>
            </w:r>
          </w:p>
        </w:tc>
      </w:tr>
      <w:tr w:rsidR="00835A63" w:rsidRPr="00DB132D" w14:paraId="4930AB26" w14:textId="77777777" w:rsidTr="00835A63">
        <w:trPr>
          <w:trHeight w:hRule="exact" w:val="113"/>
          <w:jc w:val="center"/>
        </w:trPr>
        <w:tc>
          <w:tcPr>
            <w:tcW w:w="907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008DB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A63" w:rsidRPr="00DB132D" w14:paraId="513B1EAF" w14:textId="77777777" w:rsidTr="00835A63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5B54D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1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68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99CC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91D06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Vyhodnocování interního protikorupčního programu</w:t>
            </w:r>
          </w:p>
        </w:tc>
      </w:tr>
      <w:tr w:rsidR="00835A63" w:rsidRPr="00DB132D" w14:paraId="149CDE94" w14:textId="77777777" w:rsidTr="00835A63">
        <w:trPr>
          <w:trHeight w:val="570"/>
          <w:jc w:val="center"/>
        </w:trPr>
        <w:tc>
          <w:tcPr>
            <w:tcW w:w="9077" w:type="dxa"/>
            <w:gridSpan w:val="5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4FF8E" w14:textId="77777777" w:rsidR="00835A63" w:rsidRPr="00DB132D" w:rsidRDefault="00835A63" w:rsidP="008C71AC">
            <w:pPr>
              <w:autoSpaceDE w:val="0"/>
              <w:autoSpaceDN w:val="0"/>
              <w:adjustRightInd w:val="0"/>
              <w:ind w:left="539" w:hanging="539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>Cíl:</w:t>
            </w:r>
            <w:r w:rsidRPr="00DB132D">
              <w:rPr>
                <w:rFonts w:ascii="Arial" w:hAnsi="Arial" w:cs="Arial"/>
                <w:b/>
                <w:i/>
                <w:sz w:val="22"/>
                <w:szCs w:val="22"/>
              </w:rPr>
              <w:tab/>
              <w:t>Zdokonalovat interní protikorupční program a umožnit koordinaci protikorupčních aktivit napříč rezorty.</w:t>
            </w:r>
          </w:p>
        </w:tc>
      </w:tr>
      <w:tr w:rsidR="00835A63" w:rsidRPr="00DB132D" w14:paraId="3792907F" w14:textId="77777777" w:rsidTr="00835A63">
        <w:trPr>
          <w:jc w:val="center"/>
        </w:trPr>
        <w:tc>
          <w:tcPr>
            <w:tcW w:w="709" w:type="dxa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38E22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68" w:type="dxa"/>
            <w:gridSpan w:val="4"/>
            <w:tcBorders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09B4C" w14:textId="77777777" w:rsidR="00835A63" w:rsidRPr="00DB132D" w:rsidRDefault="00835A63" w:rsidP="008C71A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bCs/>
                <w:sz w:val="22"/>
                <w:szCs w:val="22"/>
              </w:rPr>
              <w:t>Zprávy o rezortním interním protikorupčním programu</w:t>
            </w:r>
          </w:p>
        </w:tc>
      </w:tr>
      <w:tr w:rsidR="00835A63" w:rsidRPr="00DB132D" w14:paraId="19EC8BC0" w14:textId="77777777" w:rsidTr="00835A63">
        <w:trPr>
          <w:trHeight w:val="935"/>
          <w:jc w:val="center"/>
        </w:trPr>
        <w:tc>
          <w:tcPr>
            <w:tcW w:w="9077" w:type="dxa"/>
            <w:gridSpan w:val="5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D1042" w14:textId="1338D435" w:rsidR="00835A63" w:rsidRPr="004842E3" w:rsidRDefault="00835A63" w:rsidP="008C71AC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4842E3">
              <w:rPr>
                <w:rFonts w:ascii="Arial" w:hAnsi="Arial" w:cs="Arial"/>
                <w:b/>
                <w:sz w:val="22"/>
                <w:szCs w:val="22"/>
              </w:rPr>
              <w:t>Úkol: Provést vyhodnocení plnění</w:t>
            </w:r>
            <w:r w:rsidR="00914EA4">
              <w:rPr>
                <w:rFonts w:ascii="Arial" w:hAnsi="Arial" w:cs="Arial"/>
                <w:b/>
                <w:sz w:val="22"/>
                <w:szCs w:val="22"/>
              </w:rPr>
              <w:t xml:space="preserve"> úkolů</w:t>
            </w:r>
            <w:r w:rsidRPr="004842E3">
              <w:rPr>
                <w:rFonts w:ascii="Arial" w:hAnsi="Arial" w:cs="Arial"/>
                <w:b/>
                <w:sz w:val="22"/>
                <w:szCs w:val="22"/>
              </w:rPr>
              <w:t xml:space="preserve"> RIPP a zpracovat zprávu o </w:t>
            </w:r>
            <w:r w:rsidR="00914EA4">
              <w:rPr>
                <w:rFonts w:ascii="Arial" w:hAnsi="Arial" w:cs="Arial"/>
                <w:b/>
                <w:sz w:val="22"/>
                <w:szCs w:val="22"/>
              </w:rPr>
              <w:t xml:space="preserve">jejich </w:t>
            </w:r>
            <w:r w:rsidRPr="004842E3">
              <w:rPr>
                <w:rFonts w:ascii="Arial" w:hAnsi="Arial" w:cs="Arial"/>
                <w:b/>
                <w:sz w:val="22"/>
                <w:szCs w:val="22"/>
              </w:rPr>
              <w:t xml:space="preserve">plnění a zaslat tuto zprávu útvaru interního auditu MŠMT. </w:t>
            </w:r>
          </w:p>
          <w:p w14:paraId="42A5BCCC" w14:textId="77777777" w:rsidR="00835A63" w:rsidRPr="004842E3" w:rsidRDefault="00835A63" w:rsidP="008C71AC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sz w:val="22"/>
                <w:szCs w:val="22"/>
              </w:rPr>
            </w:pPr>
            <w:r w:rsidRPr="004842E3">
              <w:rPr>
                <w:rFonts w:ascii="Arial" w:hAnsi="Arial" w:cs="Arial"/>
                <w:b/>
                <w:sz w:val="22"/>
                <w:szCs w:val="22"/>
              </w:rPr>
              <w:t>Odpovídá: ÚŠI, Ř PŘO, Ř OPŘO</w:t>
            </w:r>
          </w:p>
          <w:p w14:paraId="5DEE4C28" w14:textId="38D56E9C" w:rsidR="00914EA4" w:rsidRPr="00835A63" w:rsidRDefault="00914EA4" w:rsidP="004842E3">
            <w:pPr>
              <w:autoSpaceDE w:val="0"/>
              <w:autoSpaceDN w:val="0"/>
              <w:adjustRightInd w:val="0"/>
              <w:spacing w:line="240" w:lineRule="auto"/>
              <w:ind w:left="482" w:hanging="482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Termín plnění: každoročně k 15. 1</w:t>
            </w:r>
            <w:r w:rsidRPr="004842E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835A63" w:rsidRPr="00DB132D" w14:paraId="760478B7" w14:textId="77777777" w:rsidTr="00835A63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BA09D6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instrText xml:space="preserve"> LISTNUM  VýchozíArabskéČíslování \l 2 </w:instrText>
            </w:r>
            <w:r w:rsidRPr="00DB132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368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81C59" w14:textId="77777777" w:rsidR="00835A63" w:rsidRPr="00DB132D" w:rsidRDefault="00835A63" w:rsidP="008C71AC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B132D">
              <w:rPr>
                <w:rFonts w:ascii="Arial" w:hAnsi="Arial" w:cs="Arial"/>
                <w:b/>
                <w:sz w:val="22"/>
                <w:szCs w:val="22"/>
              </w:rPr>
              <w:t>Aktualizace rezortního interního protikorupčního programu</w:t>
            </w:r>
          </w:p>
        </w:tc>
      </w:tr>
      <w:tr w:rsidR="00835A63" w:rsidRPr="006D6DB5" w14:paraId="76ECFFD6" w14:textId="77777777" w:rsidTr="00835A63">
        <w:trPr>
          <w:jc w:val="center"/>
        </w:trPr>
        <w:tc>
          <w:tcPr>
            <w:tcW w:w="9077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80463" w14:textId="0C98343B" w:rsidR="00835A63" w:rsidRPr="006D6DB5" w:rsidRDefault="00835A63" w:rsidP="004842E3">
            <w:pPr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D6DB5">
              <w:rPr>
                <w:rFonts w:ascii="Arial" w:hAnsi="Arial" w:cs="Arial"/>
                <w:sz w:val="22"/>
                <w:szCs w:val="22"/>
              </w:rPr>
              <w:t>Na základě zprávy o plnění a po kontrole souladu s aktuálním Rámcovým rezortním interním protikorupčním programem aktualizovat rezortní interní protikorupční program a jeho aktuální znění zveřejnit na internetových stránkách rezortu/ ústředního správního úřadu.</w:t>
            </w:r>
          </w:p>
        </w:tc>
      </w:tr>
    </w:tbl>
    <w:p w14:paraId="26661D82" w14:textId="77777777" w:rsidR="0077786B" w:rsidRDefault="0077786B" w:rsidP="0077786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sectPr w:rsidR="0077786B" w:rsidSect="00DA4FFF"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970D4" w14:textId="77777777" w:rsidR="003E49E7" w:rsidRDefault="003E49E7">
      <w:r>
        <w:separator/>
      </w:r>
    </w:p>
  </w:endnote>
  <w:endnote w:type="continuationSeparator" w:id="0">
    <w:p w14:paraId="581F27BB" w14:textId="77777777" w:rsidR="003E49E7" w:rsidRDefault="003E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2048250"/>
      <w:docPartObj>
        <w:docPartGallery w:val="Page Numbers (Bottom of Page)"/>
        <w:docPartUnique/>
      </w:docPartObj>
    </w:sdtPr>
    <w:sdtEndPr/>
    <w:sdtContent>
      <w:p w14:paraId="3DE83E0E" w14:textId="796F9BDD" w:rsidR="00747EC6" w:rsidRDefault="00747E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016">
          <w:rPr>
            <w:noProof/>
          </w:rPr>
          <w:t>2</w:t>
        </w:r>
        <w:r>
          <w:fldChar w:fldCharType="end"/>
        </w:r>
      </w:p>
    </w:sdtContent>
  </w:sdt>
  <w:p w14:paraId="0D58A3C7" w14:textId="77777777" w:rsidR="00747EC6" w:rsidRDefault="00747E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408622"/>
      <w:docPartObj>
        <w:docPartGallery w:val="Page Numbers (Bottom of Page)"/>
        <w:docPartUnique/>
      </w:docPartObj>
    </w:sdtPr>
    <w:sdtEndPr/>
    <w:sdtContent>
      <w:p w14:paraId="0F1DBF70" w14:textId="2BB7329C" w:rsidR="008858C0" w:rsidRDefault="008858C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016">
          <w:rPr>
            <w:noProof/>
          </w:rPr>
          <w:t>1</w:t>
        </w:r>
        <w:r>
          <w:fldChar w:fldCharType="end"/>
        </w:r>
      </w:p>
    </w:sdtContent>
  </w:sdt>
  <w:p w14:paraId="571A8C24" w14:textId="77777777" w:rsidR="008858C0" w:rsidRDefault="008858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53D65" w14:textId="77777777" w:rsidR="003E49E7" w:rsidRDefault="003E49E7">
      <w:r>
        <w:separator/>
      </w:r>
    </w:p>
  </w:footnote>
  <w:footnote w:type="continuationSeparator" w:id="0">
    <w:p w14:paraId="4E26E991" w14:textId="77777777" w:rsidR="003E49E7" w:rsidRDefault="003E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DE7D7" w14:textId="3E28B498" w:rsidR="004842E3" w:rsidRPr="004842E3" w:rsidRDefault="004842E3" w:rsidP="004842E3">
    <w:pPr>
      <w:pStyle w:val="Zhlav"/>
      <w:jc w:val="right"/>
      <w:rPr>
        <w:rFonts w:ascii="Calibri" w:hAnsi="Calibri" w:cs="Arial"/>
        <w:sz w:val="20"/>
        <w:szCs w:val="20"/>
      </w:rPr>
    </w:pPr>
    <w:r w:rsidRPr="004842E3">
      <w:rPr>
        <w:rFonts w:ascii="Calibri" w:hAnsi="Calibri" w:cs="Arial"/>
        <w:sz w:val="20"/>
        <w:szCs w:val="20"/>
      </w:rPr>
      <w:t>č</w:t>
    </w:r>
    <w:r w:rsidR="00B64586">
      <w:rPr>
        <w:rFonts w:ascii="Calibri" w:hAnsi="Calibri" w:cs="Arial"/>
        <w:sz w:val="20"/>
        <w:szCs w:val="20"/>
      </w:rPr>
      <w:t>.j. MSMT-11156</w:t>
    </w:r>
    <w:r w:rsidR="00A7680A">
      <w:rPr>
        <w:rFonts w:ascii="Calibri" w:hAnsi="Calibri" w:cs="Arial"/>
        <w:sz w:val="20"/>
        <w:szCs w:val="20"/>
      </w:rPr>
      <w:t>/2016</w:t>
    </w:r>
    <w:r w:rsidRPr="004842E3">
      <w:rPr>
        <w:rFonts w:ascii="Calibri" w:hAnsi="Calibri" w:cs="Arial"/>
        <w:sz w:val="20"/>
        <w:szCs w:val="20"/>
      </w:rPr>
      <w:t>-</w:t>
    </w:r>
    <w:r w:rsidR="00A7680A">
      <w:rPr>
        <w:rFonts w:ascii="Calibri" w:hAnsi="Calibri" w:cs="Arial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1FDC"/>
    <w:multiLevelType w:val="singleLevel"/>
    <w:tmpl w:val="2D5CA410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AC6008C"/>
    <w:multiLevelType w:val="hybridMultilevel"/>
    <w:tmpl w:val="4740E08A"/>
    <w:lvl w:ilvl="0" w:tplc="7D664F18">
      <w:numFmt w:val="bullet"/>
      <w:lvlText w:val=""/>
      <w:lvlJc w:val="left"/>
      <w:pPr>
        <w:tabs>
          <w:tab w:val="num" w:pos="76"/>
        </w:tabs>
        <w:ind w:left="76" w:hanging="360"/>
      </w:pPr>
      <w:rPr>
        <w:rFonts w:ascii="Symbol" w:eastAsia="Times New Roman" w:hAnsi="Symbol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2">
    <w:nsid w:val="1257369F"/>
    <w:multiLevelType w:val="hybridMultilevel"/>
    <w:tmpl w:val="B66E39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71A5E"/>
    <w:multiLevelType w:val="hybridMultilevel"/>
    <w:tmpl w:val="9A28651C"/>
    <w:lvl w:ilvl="0" w:tplc="0405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2BC441A2"/>
    <w:multiLevelType w:val="hybridMultilevel"/>
    <w:tmpl w:val="FE9C3D64"/>
    <w:lvl w:ilvl="0" w:tplc="59E661A8">
      <w:numFmt w:val="bullet"/>
      <w:lvlText w:val=""/>
      <w:lvlJc w:val="left"/>
      <w:pPr>
        <w:tabs>
          <w:tab w:val="num" w:pos="76"/>
        </w:tabs>
        <w:ind w:left="76" w:hanging="360"/>
      </w:pPr>
      <w:rPr>
        <w:rFonts w:ascii="Wingdings" w:eastAsia="Times New Roman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5">
    <w:nsid w:val="2E996A25"/>
    <w:multiLevelType w:val="hybridMultilevel"/>
    <w:tmpl w:val="5AE8E0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B872BB"/>
    <w:multiLevelType w:val="hybridMultilevel"/>
    <w:tmpl w:val="9CA4E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52BDA"/>
    <w:multiLevelType w:val="hybridMultilevel"/>
    <w:tmpl w:val="61D837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3D056D"/>
    <w:multiLevelType w:val="hybridMultilevel"/>
    <w:tmpl w:val="048CD65A"/>
    <w:lvl w:ilvl="0" w:tplc="741CB2EE">
      <w:start w:val="2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65A95D96"/>
    <w:multiLevelType w:val="multilevel"/>
    <w:tmpl w:val="FE9C3D64"/>
    <w:lvl w:ilvl="0">
      <w:numFmt w:val="bullet"/>
      <w:lvlText w:val=""/>
      <w:lvlJc w:val="left"/>
      <w:pPr>
        <w:tabs>
          <w:tab w:val="num" w:pos="76"/>
        </w:tabs>
        <w:ind w:left="76" w:hanging="360"/>
      </w:pPr>
      <w:rPr>
        <w:rFonts w:ascii="Wingdings" w:eastAsia="Times New Roman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F1"/>
    <w:rsid w:val="000162BE"/>
    <w:rsid w:val="00025889"/>
    <w:rsid w:val="000259BC"/>
    <w:rsid w:val="00025F32"/>
    <w:rsid w:val="00027B3C"/>
    <w:rsid w:val="000306F1"/>
    <w:rsid w:val="00051D36"/>
    <w:rsid w:val="000629C5"/>
    <w:rsid w:val="000831A1"/>
    <w:rsid w:val="000914EF"/>
    <w:rsid w:val="000934EA"/>
    <w:rsid w:val="00096977"/>
    <w:rsid w:val="00096C08"/>
    <w:rsid w:val="000A503F"/>
    <w:rsid w:val="000A6CD0"/>
    <w:rsid w:val="000B0C8C"/>
    <w:rsid w:val="000E0CC7"/>
    <w:rsid w:val="000E293A"/>
    <w:rsid w:val="000F09CE"/>
    <w:rsid w:val="000F6D71"/>
    <w:rsid w:val="0010194A"/>
    <w:rsid w:val="00102278"/>
    <w:rsid w:val="00102AE5"/>
    <w:rsid w:val="0010406D"/>
    <w:rsid w:val="00124A29"/>
    <w:rsid w:val="00126C38"/>
    <w:rsid w:val="00130738"/>
    <w:rsid w:val="00134202"/>
    <w:rsid w:val="00136F32"/>
    <w:rsid w:val="001409ED"/>
    <w:rsid w:val="001415F7"/>
    <w:rsid w:val="00143FC9"/>
    <w:rsid w:val="0017712D"/>
    <w:rsid w:val="001848CB"/>
    <w:rsid w:val="00184C14"/>
    <w:rsid w:val="00184FB4"/>
    <w:rsid w:val="00186F53"/>
    <w:rsid w:val="00193302"/>
    <w:rsid w:val="00194387"/>
    <w:rsid w:val="001A4F07"/>
    <w:rsid w:val="001A508C"/>
    <w:rsid w:val="001A772F"/>
    <w:rsid w:val="001A7F25"/>
    <w:rsid w:val="001B1286"/>
    <w:rsid w:val="001B14D3"/>
    <w:rsid w:val="001C2C46"/>
    <w:rsid w:val="002072FD"/>
    <w:rsid w:val="002158B6"/>
    <w:rsid w:val="00223ED7"/>
    <w:rsid w:val="00233A2D"/>
    <w:rsid w:val="0024388A"/>
    <w:rsid w:val="00253604"/>
    <w:rsid w:val="00253E5F"/>
    <w:rsid w:val="00266238"/>
    <w:rsid w:val="0027766C"/>
    <w:rsid w:val="00283405"/>
    <w:rsid w:val="0028484A"/>
    <w:rsid w:val="00285196"/>
    <w:rsid w:val="002A1635"/>
    <w:rsid w:val="002A65B7"/>
    <w:rsid w:val="002C0C5A"/>
    <w:rsid w:val="002C26A2"/>
    <w:rsid w:val="002D15BB"/>
    <w:rsid w:val="002D4886"/>
    <w:rsid w:val="002D731B"/>
    <w:rsid w:val="002E606B"/>
    <w:rsid w:val="002E6510"/>
    <w:rsid w:val="002F2428"/>
    <w:rsid w:val="00303B4E"/>
    <w:rsid w:val="00304E5F"/>
    <w:rsid w:val="003055B9"/>
    <w:rsid w:val="00306279"/>
    <w:rsid w:val="003078A0"/>
    <w:rsid w:val="003179A0"/>
    <w:rsid w:val="0032736C"/>
    <w:rsid w:val="00331036"/>
    <w:rsid w:val="00335814"/>
    <w:rsid w:val="0034098B"/>
    <w:rsid w:val="00346914"/>
    <w:rsid w:val="00350C4C"/>
    <w:rsid w:val="00350EBB"/>
    <w:rsid w:val="00357F41"/>
    <w:rsid w:val="00366E8F"/>
    <w:rsid w:val="003714B9"/>
    <w:rsid w:val="003B31C4"/>
    <w:rsid w:val="003B4387"/>
    <w:rsid w:val="003D2B87"/>
    <w:rsid w:val="003D7D92"/>
    <w:rsid w:val="003E0366"/>
    <w:rsid w:val="003E2382"/>
    <w:rsid w:val="003E38BC"/>
    <w:rsid w:val="003E49E7"/>
    <w:rsid w:val="003E4B3A"/>
    <w:rsid w:val="003F31BF"/>
    <w:rsid w:val="00400A14"/>
    <w:rsid w:val="00400B42"/>
    <w:rsid w:val="004057AC"/>
    <w:rsid w:val="004119F4"/>
    <w:rsid w:val="004219A6"/>
    <w:rsid w:val="00423F53"/>
    <w:rsid w:val="004319BD"/>
    <w:rsid w:val="004328A3"/>
    <w:rsid w:val="00453C4E"/>
    <w:rsid w:val="00462AC6"/>
    <w:rsid w:val="00472506"/>
    <w:rsid w:val="00474033"/>
    <w:rsid w:val="0047532B"/>
    <w:rsid w:val="00477A3F"/>
    <w:rsid w:val="004842E3"/>
    <w:rsid w:val="00485408"/>
    <w:rsid w:val="00486A89"/>
    <w:rsid w:val="0049245C"/>
    <w:rsid w:val="00496AC7"/>
    <w:rsid w:val="004A0022"/>
    <w:rsid w:val="004A4AA1"/>
    <w:rsid w:val="004B23A3"/>
    <w:rsid w:val="004D4B79"/>
    <w:rsid w:val="004D5EC8"/>
    <w:rsid w:val="004F5BEE"/>
    <w:rsid w:val="00501FE7"/>
    <w:rsid w:val="00507D38"/>
    <w:rsid w:val="00507F31"/>
    <w:rsid w:val="0051454F"/>
    <w:rsid w:val="00515AD0"/>
    <w:rsid w:val="0051648B"/>
    <w:rsid w:val="00522FE4"/>
    <w:rsid w:val="0052347B"/>
    <w:rsid w:val="0052544C"/>
    <w:rsid w:val="00530A54"/>
    <w:rsid w:val="00533D1D"/>
    <w:rsid w:val="00535C76"/>
    <w:rsid w:val="0054058A"/>
    <w:rsid w:val="005428DC"/>
    <w:rsid w:val="00561E75"/>
    <w:rsid w:val="00562749"/>
    <w:rsid w:val="005764F6"/>
    <w:rsid w:val="005810D4"/>
    <w:rsid w:val="00581C8C"/>
    <w:rsid w:val="00595F48"/>
    <w:rsid w:val="005A1FBB"/>
    <w:rsid w:val="005A2E75"/>
    <w:rsid w:val="005A3CC1"/>
    <w:rsid w:val="005C3B1C"/>
    <w:rsid w:val="005C7CB1"/>
    <w:rsid w:val="005F3A9C"/>
    <w:rsid w:val="005F73CB"/>
    <w:rsid w:val="006108DE"/>
    <w:rsid w:val="0061179F"/>
    <w:rsid w:val="0061567D"/>
    <w:rsid w:val="00622827"/>
    <w:rsid w:val="00623845"/>
    <w:rsid w:val="00627437"/>
    <w:rsid w:val="00636EB3"/>
    <w:rsid w:val="00637DDB"/>
    <w:rsid w:val="006404A9"/>
    <w:rsid w:val="00640D16"/>
    <w:rsid w:val="00642444"/>
    <w:rsid w:val="0065017B"/>
    <w:rsid w:val="006529D5"/>
    <w:rsid w:val="00653984"/>
    <w:rsid w:val="00654112"/>
    <w:rsid w:val="00666099"/>
    <w:rsid w:val="006673F8"/>
    <w:rsid w:val="00670726"/>
    <w:rsid w:val="00674337"/>
    <w:rsid w:val="0067574B"/>
    <w:rsid w:val="00694201"/>
    <w:rsid w:val="006B32AC"/>
    <w:rsid w:val="006B34CF"/>
    <w:rsid w:val="006B37F5"/>
    <w:rsid w:val="006B7BD7"/>
    <w:rsid w:val="006D6DB5"/>
    <w:rsid w:val="006D701E"/>
    <w:rsid w:val="007017DB"/>
    <w:rsid w:val="00705116"/>
    <w:rsid w:val="0071731F"/>
    <w:rsid w:val="00720B6F"/>
    <w:rsid w:val="007213E4"/>
    <w:rsid w:val="00723E74"/>
    <w:rsid w:val="00731D0A"/>
    <w:rsid w:val="0074401C"/>
    <w:rsid w:val="00746D7F"/>
    <w:rsid w:val="00747EC6"/>
    <w:rsid w:val="00757344"/>
    <w:rsid w:val="007578C7"/>
    <w:rsid w:val="0077786B"/>
    <w:rsid w:val="00782268"/>
    <w:rsid w:val="0078669F"/>
    <w:rsid w:val="00787DCF"/>
    <w:rsid w:val="00791460"/>
    <w:rsid w:val="007A0FB5"/>
    <w:rsid w:val="007A4C00"/>
    <w:rsid w:val="007A5132"/>
    <w:rsid w:val="007A7CA5"/>
    <w:rsid w:val="007C0D0C"/>
    <w:rsid w:val="007C5EDD"/>
    <w:rsid w:val="007E31C9"/>
    <w:rsid w:val="007E7F81"/>
    <w:rsid w:val="007F0F9F"/>
    <w:rsid w:val="007F43E3"/>
    <w:rsid w:val="007F53DC"/>
    <w:rsid w:val="00812ADC"/>
    <w:rsid w:val="008211D3"/>
    <w:rsid w:val="00825F81"/>
    <w:rsid w:val="00833D8D"/>
    <w:rsid w:val="00834092"/>
    <w:rsid w:val="00835A63"/>
    <w:rsid w:val="008377F5"/>
    <w:rsid w:val="0084193D"/>
    <w:rsid w:val="00847588"/>
    <w:rsid w:val="00860069"/>
    <w:rsid w:val="00866FC4"/>
    <w:rsid w:val="00874A6B"/>
    <w:rsid w:val="008760D9"/>
    <w:rsid w:val="008858C0"/>
    <w:rsid w:val="0089310F"/>
    <w:rsid w:val="008A2568"/>
    <w:rsid w:val="008B25B9"/>
    <w:rsid w:val="008C5386"/>
    <w:rsid w:val="008C5945"/>
    <w:rsid w:val="008D1241"/>
    <w:rsid w:val="008D44CE"/>
    <w:rsid w:val="008D74A4"/>
    <w:rsid w:val="008F5FB6"/>
    <w:rsid w:val="00904429"/>
    <w:rsid w:val="00912016"/>
    <w:rsid w:val="00913692"/>
    <w:rsid w:val="00914EA4"/>
    <w:rsid w:val="009248A7"/>
    <w:rsid w:val="00926473"/>
    <w:rsid w:val="00927B78"/>
    <w:rsid w:val="009362E4"/>
    <w:rsid w:val="0093711B"/>
    <w:rsid w:val="0094009D"/>
    <w:rsid w:val="00941ED6"/>
    <w:rsid w:val="009442D2"/>
    <w:rsid w:val="0097525A"/>
    <w:rsid w:val="0097674F"/>
    <w:rsid w:val="00980843"/>
    <w:rsid w:val="009866BE"/>
    <w:rsid w:val="00987CE8"/>
    <w:rsid w:val="00987DA5"/>
    <w:rsid w:val="00991033"/>
    <w:rsid w:val="00993737"/>
    <w:rsid w:val="009A042B"/>
    <w:rsid w:val="009A7503"/>
    <w:rsid w:val="009C4592"/>
    <w:rsid w:val="009C659F"/>
    <w:rsid w:val="009C692A"/>
    <w:rsid w:val="009C7E30"/>
    <w:rsid w:val="009D63B9"/>
    <w:rsid w:val="009E1443"/>
    <w:rsid w:val="009E7902"/>
    <w:rsid w:val="009F17FC"/>
    <w:rsid w:val="00A02C45"/>
    <w:rsid w:val="00A12577"/>
    <w:rsid w:val="00A129BB"/>
    <w:rsid w:val="00A3469F"/>
    <w:rsid w:val="00A34B0E"/>
    <w:rsid w:val="00A35E95"/>
    <w:rsid w:val="00A63E17"/>
    <w:rsid w:val="00A645A7"/>
    <w:rsid w:val="00A6608B"/>
    <w:rsid w:val="00A72191"/>
    <w:rsid w:val="00A73015"/>
    <w:rsid w:val="00A7323E"/>
    <w:rsid w:val="00A7383A"/>
    <w:rsid w:val="00A7680A"/>
    <w:rsid w:val="00A87430"/>
    <w:rsid w:val="00AA2F65"/>
    <w:rsid w:val="00AA4B1D"/>
    <w:rsid w:val="00AC605C"/>
    <w:rsid w:val="00AD1BB1"/>
    <w:rsid w:val="00AD24A9"/>
    <w:rsid w:val="00AD344E"/>
    <w:rsid w:val="00AD74B9"/>
    <w:rsid w:val="00AE2090"/>
    <w:rsid w:val="00B0032F"/>
    <w:rsid w:val="00B0447F"/>
    <w:rsid w:val="00B20357"/>
    <w:rsid w:val="00B27420"/>
    <w:rsid w:val="00B3221B"/>
    <w:rsid w:val="00B563DF"/>
    <w:rsid w:val="00B64586"/>
    <w:rsid w:val="00B72BB0"/>
    <w:rsid w:val="00B756C6"/>
    <w:rsid w:val="00B7575A"/>
    <w:rsid w:val="00B80A79"/>
    <w:rsid w:val="00B85E1D"/>
    <w:rsid w:val="00B93907"/>
    <w:rsid w:val="00BA350E"/>
    <w:rsid w:val="00BB3AE7"/>
    <w:rsid w:val="00BC2804"/>
    <w:rsid w:val="00BC29AE"/>
    <w:rsid w:val="00BC487B"/>
    <w:rsid w:val="00BC4D1F"/>
    <w:rsid w:val="00BC4E18"/>
    <w:rsid w:val="00BC5367"/>
    <w:rsid w:val="00BD34A3"/>
    <w:rsid w:val="00BD357B"/>
    <w:rsid w:val="00BF60D6"/>
    <w:rsid w:val="00C06D91"/>
    <w:rsid w:val="00C140D5"/>
    <w:rsid w:val="00C22CEF"/>
    <w:rsid w:val="00C24C4A"/>
    <w:rsid w:val="00C26481"/>
    <w:rsid w:val="00C54582"/>
    <w:rsid w:val="00C62B2F"/>
    <w:rsid w:val="00C71380"/>
    <w:rsid w:val="00C72B24"/>
    <w:rsid w:val="00C7741F"/>
    <w:rsid w:val="00C820C5"/>
    <w:rsid w:val="00C84E74"/>
    <w:rsid w:val="00CA2FD0"/>
    <w:rsid w:val="00CA4B96"/>
    <w:rsid w:val="00CA5A96"/>
    <w:rsid w:val="00CB2C6E"/>
    <w:rsid w:val="00CC6E45"/>
    <w:rsid w:val="00CE4539"/>
    <w:rsid w:val="00CF0BA1"/>
    <w:rsid w:val="00CF587A"/>
    <w:rsid w:val="00D00423"/>
    <w:rsid w:val="00D13EFA"/>
    <w:rsid w:val="00D1409B"/>
    <w:rsid w:val="00D15B59"/>
    <w:rsid w:val="00D32DF8"/>
    <w:rsid w:val="00D41BD9"/>
    <w:rsid w:val="00D45174"/>
    <w:rsid w:val="00D46BB1"/>
    <w:rsid w:val="00D50BE7"/>
    <w:rsid w:val="00D5297B"/>
    <w:rsid w:val="00D655E6"/>
    <w:rsid w:val="00D67866"/>
    <w:rsid w:val="00D773B2"/>
    <w:rsid w:val="00D82AFC"/>
    <w:rsid w:val="00D900F3"/>
    <w:rsid w:val="00D93915"/>
    <w:rsid w:val="00DA100B"/>
    <w:rsid w:val="00DA1EE6"/>
    <w:rsid w:val="00DA4FFF"/>
    <w:rsid w:val="00DA6497"/>
    <w:rsid w:val="00DB132D"/>
    <w:rsid w:val="00DD1ED9"/>
    <w:rsid w:val="00DD52C4"/>
    <w:rsid w:val="00DE3150"/>
    <w:rsid w:val="00DE51C1"/>
    <w:rsid w:val="00DE6A5F"/>
    <w:rsid w:val="00DF0404"/>
    <w:rsid w:val="00DF2E8E"/>
    <w:rsid w:val="00DF43AE"/>
    <w:rsid w:val="00DF6BFC"/>
    <w:rsid w:val="00E0357D"/>
    <w:rsid w:val="00E07872"/>
    <w:rsid w:val="00E14400"/>
    <w:rsid w:val="00E21039"/>
    <w:rsid w:val="00E22C92"/>
    <w:rsid w:val="00E335B6"/>
    <w:rsid w:val="00E3714A"/>
    <w:rsid w:val="00E37B03"/>
    <w:rsid w:val="00E574AF"/>
    <w:rsid w:val="00E66008"/>
    <w:rsid w:val="00E67412"/>
    <w:rsid w:val="00E82D6B"/>
    <w:rsid w:val="00E83DEB"/>
    <w:rsid w:val="00E874DE"/>
    <w:rsid w:val="00EA0C9E"/>
    <w:rsid w:val="00EA2CE7"/>
    <w:rsid w:val="00EB099B"/>
    <w:rsid w:val="00EC6F5D"/>
    <w:rsid w:val="00ED00F9"/>
    <w:rsid w:val="00EE3FC6"/>
    <w:rsid w:val="00EF7C95"/>
    <w:rsid w:val="00F07DBC"/>
    <w:rsid w:val="00F21AF7"/>
    <w:rsid w:val="00F27535"/>
    <w:rsid w:val="00F61C9C"/>
    <w:rsid w:val="00F70BA7"/>
    <w:rsid w:val="00F763CA"/>
    <w:rsid w:val="00F81BCC"/>
    <w:rsid w:val="00F82226"/>
    <w:rsid w:val="00F87776"/>
    <w:rsid w:val="00F9054A"/>
    <w:rsid w:val="00F95FDD"/>
    <w:rsid w:val="00FB703A"/>
    <w:rsid w:val="00FC20EC"/>
    <w:rsid w:val="00FE6BB3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C2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6F1"/>
    <w:pPr>
      <w:spacing w:line="280" w:lineRule="atLeast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3AE7"/>
    <w:pPr>
      <w:keepNext/>
      <w:numPr>
        <w:numId w:val="8"/>
      </w:numPr>
      <w:spacing w:line="240" w:lineRule="auto"/>
      <w:jc w:val="left"/>
      <w:outlineLvl w:val="0"/>
    </w:pPr>
    <w:rPr>
      <w:rFonts w:ascii="Calibri" w:hAnsi="Calibri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p">
    <w:name w:val="Pozn.p.č."/>
    <w:basedOn w:val="Textpoznpodarou"/>
    <w:rsid w:val="00530A54"/>
    <w:pPr>
      <w:spacing w:before="60" w:line="240" w:lineRule="auto"/>
      <w:ind w:left="284" w:hanging="284"/>
    </w:pPr>
    <w:rPr>
      <w:lang w:eastAsia="x-none"/>
    </w:rPr>
  </w:style>
  <w:style w:type="paragraph" w:styleId="Textpoznpodarou">
    <w:name w:val="footnote text"/>
    <w:basedOn w:val="Normln"/>
    <w:semiHidden/>
    <w:rsid w:val="00530A54"/>
    <w:rPr>
      <w:sz w:val="20"/>
      <w:szCs w:val="20"/>
    </w:rPr>
  </w:style>
  <w:style w:type="paragraph" w:styleId="Zhlav">
    <w:name w:val="header"/>
    <w:basedOn w:val="Normln"/>
    <w:rsid w:val="004D4B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4B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4B79"/>
  </w:style>
  <w:style w:type="table" w:styleId="Mkatabulky">
    <w:name w:val="Table Grid"/>
    <w:basedOn w:val="Normlntabulka"/>
    <w:rsid w:val="00A35E95"/>
    <w:pPr>
      <w:spacing w:line="28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semiHidden/>
    <w:rsid w:val="002F2428"/>
    <w:rPr>
      <w:vertAlign w:val="superscript"/>
    </w:rPr>
  </w:style>
  <w:style w:type="paragraph" w:styleId="Textbubliny">
    <w:name w:val="Balloon Text"/>
    <w:basedOn w:val="Normln"/>
    <w:semiHidden/>
    <w:rsid w:val="009C692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756C6"/>
    <w:rPr>
      <w:sz w:val="16"/>
      <w:szCs w:val="16"/>
    </w:rPr>
  </w:style>
  <w:style w:type="paragraph" w:styleId="Textkomente">
    <w:name w:val="annotation text"/>
    <w:basedOn w:val="Normln"/>
    <w:semiHidden/>
    <w:rsid w:val="00B756C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756C6"/>
    <w:rPr>
      <w:b/>
      <w:bCs/>
    </w:rPr>
  </w:style>
  <w:style w:type="paragraph" w:customStyle="1" w:styleId="Default">
    <w:name w:val="Default"/>
    <w:rsid w:val="00CB2C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409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B3AE7"/>
    <w:rPr>
      <w:rFonts w:ascii="Calibri" w:hAnsi="Calibri"/>
      <w:b/>
      <w:sz w:val="28"/>
    </w:rPr>
  </w:style>
  <w:style w:type="character" w:styleId="Hypertextovodkaz">
    <w:name w:val="Hyperlink"/>
    <w:basedOn w:val="Standardnpsmoodstavce"/>
    <w:uiPriority w:val="99"/>
    <w:unhideWhenUsed/>
    <w:rsid w:val="00BB3AE7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35A63"/>
    <w:pPr>
      <w:spacing w:line="240" w:lineRule="auto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835A63"/>
    <w:rPr>
      <w:b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8858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06F1"/>
    <w:pPr>
      <w:spacing w:line="280" w:lineRule="atLeast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3AE7"/>
    <w:pPr>
      <w:keepNext/>
      <w:numPr>
        <w:numId w:val="8"/>
      </w:numPr>
      <w:spacing w:line="240" w:lineRule="auto"/>
      <w:jc w:val="left"/>
      <w:outlineLvl w:val="0"/>
    </w:pPr>
    <w:rPr>
      <w:rFonts w:ascii="Calibri" w:hAnsi="Calibri"/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p">
    <w:name w:val="Pozn.p.č."/>
    <w:basedOn w:val="Textpoznpodarou"/>
    <w:rsid w:val="00530A54"/>
    <w:pPr>
      <w:spacing w:before="60" w:line="240" w:lineRule="auto"/>
      <w:ind w:left="284" w:hanging="284"/>
    </w:pPr>
    <w:rPr>
      <w:lang w:eastAsia="x-none"/>
    </w:rPr>
  </w:style>
  <w:style w:type="paragraph" w:styleId="Textpoznpodarou">
    <w:name w:val="footnote text"/>
    <w:basedOn w:val="Normln"/>
    <w:semiHidden/>
    <w:rsid w:val="00530A54"/>
    <w:rPr>
      <w:sz w:val="20"/>
      <w:szCs w:val="20"/>
    </w:rPr>
  </w:style>
  <w:style w:type="paragraph" w:styleId="Zhlav">
    <w:name w:val="header"/>
    <w:basedOn w:val="Normln"/>
    <w:rsid w:val="004D4B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4B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D4B79"/>
  </w:style>
  <w:style w:type="table" w:styleId="Mkatabulky">
    <w:name w:val="Table Grid"/>
    <w:basedOn w:val="Normlntabulka"/>
    <w:rsid w:val="00A35E95"/>
    <w:pPr>
      <w:spacing w:line="28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semiHidden/>
    <w:rsid w:val="002F2428"/>
    <w:rPr>
      <w:vertAlign w:val="superscript"/>
    </w:rPr>
  </w:style>
  <w:style w:type="paragraph" w:styleId="Textbubliny">
    <w:name w:val="Balloon Text"/>
    <w:basedOn w:val="Normln"/>
    <w:semiHidden/>
    <w:rsid w:val="009C692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B756C6"/>
    <w:rPr>
      <w:sz w:val="16"/>
      <w:szCs w:val="16"/>
    </w:rPr>
  </w:style>
  <w:style w:type="paragraph" w:styleId="Textkomente">
    <w:name w:val="annotation text"/>
    <w:basedOn w:val="Normln"/>
    <w:semiHidden/>
    <w:rsid w:val="00B756C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756C6"/>
    <w:rPr>
      <w:b/>
      <w:bCs/>
    </w:rPr>
  </w:style>
  <w:style w:type="paragraph" w:customStyle="1" w:styleId="Default">
    <w:name w:val="Default"/>
    <w:rsid w:val="00CB2C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1409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B3AE7"/>
    <w:rPr>
      <w:rFonts w:ascii="Calibri" w:hAnsi="Calibri"/>
      <w:b/>
      <w:sz w:val="28"/>
    </w:rPr>
  </w:style>
  <w:style w:type="character" w:styleId="Hypertextovodkaz">
    <w:name w:val="Hyperlink"/>
    <w:basedOn w:val="Standardnpsmoodstavce"/>
    <w:uiPriority w:val="99"/>
    <w:unhideWhenUsed/>
    <w:rsid w:val="00BB3AE7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35A63"/>
    <w:pPr>
      <w:spacing w:line="240" w:lineRule="auto"/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835A63"/>
    <w:rPr>
      <w:b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8858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B6964-CF8C-4434-9058-FDEEA7A7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2754</Words>
  <Characters>16253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Následující osnova je rezortům předkládána jako minimální rámec interního protikorupčního programu, jehož aplikací bude v jednotlivých úřadech zajištěna standardizovaná podoba boje proti korupci</vt:lpstr>
    </vt:vector>
  </TitlesOfParts>
  <Company>UV ČR</Company>
  <LinksUpToDate>false</LinksUpToDate>
  <CharactersWithSpaces>18970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Následující osnova je rezortům předkládána jako minimální rámec interního protikorupčního programu, jehož aplikací bude v jednotlivých úřadech zajištěna standardizovaná podoba boje proti korupci</dc:title>
  <dc:creator>Leixner</dc:creator>
  <cp:lastModifiedBy>Kubas Patrik</cp:lastModifiedBy>
  <cp:revision>2</cp:revision>
  <cp:lastPrinted>2016-03-31T06:25:00Z</cp:lastPrinted>
  <dcterms:created xsi:type="dcterms:W3CDTF">2016-03-31T10:00:00Z</dcterms:created>
  <dcterms:modified xsi:type="dcterms:W3CDTF">2016-03-31T10:00:00Z</dcterms:modified>
</cp:coreProperties>
</file>